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E5CEA" w14:textId="77777777" w:rsidR="00C71B10" w:rsidRPr="0043206B" w:rsidRDefault="004B2C37">
      <w:pPr>
        <w:rPr>
          <w:b/>
          <w:bCs/>
          <w:sz w:val="28"/>
          <w:szCs w:val="28"/>
        </w:rPr>
      </w:pPr>
      <w:r w:rsidRPr="0043206B">
        <w:rPr>
          <w:b/>
          <w:bCs/>
          <w:sz w:val="28"/>
          <w:szCs w:val="28"/>
        </w:rPr>
        <w:t>NBTC Emergency Preparedness, resilience and Response guidance for Hospital Transfusion Teams</w:t>
      </w:r>
    </w:p>
    <w:p w14:paraId="5F39EB8B" w14:textId="77777777" w:rsidR="0043206B" w:rsidRDefault="0043206B">
      <w:pPr>
        <w:rPr>
          <w:sz w:val="28"/>
          <w:szCs w:val="28"/>
        </w:rPr>
      </w:pPr>
      <w:r>
        <w:rPr>
          <w:sz w:val="28"/>
          <w:szCs w:val="28"/>
        </w:rPr>
        <w:t xml:space="preserve">Guidelines </w:t>
      </w:r>
      <w:r w:rsidR="005178F6">
        <w:rPr>
          <w:sz w:val="28"/>
          <w:szCs w:val="28"/>
        </w:rPr>
        <w:t>Publis</w:t>
      </w:r>
      <w:r w:rsidR="005178F6" w:rsidRPr="005178F6">
        <w:rPr>
          <w:sz w:val="28"/>
          <w:szCs w:val="28"/>
        </w:rPr>
        <w:t>hed 12</w:t>
      </w:r>
      <w:r w:rsidR="005178F6" w:rsidRPr="005178F6">
        <w:rPr>
          <w:sz w:val="28"/>
          <w:szCs w:val="28"/>
          <w:vertAlign w:val="superscript"/>
        </w:rPr>
        <w:t>th</w:t>
      </w:r>
      <w:r w:rsidR="005178F6" w:rsidRPr="005178F6">
        <w:rPr>
          <w:sz w:val="28"/>
          <w:szCs w:val="28"/>
        </w:rPr>
        <w:t xml:space="preserve"> March 201</w:t>
      </w:r>
      <w:r w:rsidR="004B2C37">
        <w:rPr>
          <w:sz w:val="28"/>
          <w:szCs w:val="28"/>
        </w:rPr>
        <w:t>9</w:t>
      </w:r>
      <w:r w:rsidR="005178F6" w:rsidRPr="005178F6">
        <w:rPr>
          <w:sz w:val="28"/>
          <w:szCs w:val="28"/>
        </w:rPr>
        <w:t xml:space="preserve">: </w:t>
      </w:r>
    </w:p>
    <w:p w14:paraId="411F7D96" w14:textId="15AD28C2" w:rsidR="005178F6" w:rsidRDefault="005178F6">
      <w:pPr>
        <w:rPr>
          <w:sz w:val="28"/>
          <w:szCs w:val="28"/>
        </w:rPr>
      </w:pPr>
      <w:r w:rsidRPr="005178F6">
        <w:rPr>
          <w:sz w:val="28"/>
          <w:szCs w:val="28"/>
        </w:rPr>
        <w:t>Gap Analysis</w:t>
      </w:r>
      <w:r w:rsidR="0043206B">
        <w:rPr>
          <w:sz w:val="28"/>
          <w:szCs w:val="28"/>
        </w:rPr>
        <w:t>: Location/trust…………………………………………………………………………………………………………….</w:t>
      </w:r>
    </w:p>
    <w:p w14:paraId="62D2DBE2" w14:textId="77777777" w:rsidR="0043206B" w:rsidRDefault="0043206B">
      <w:pPr>
        <w:rPr>
          <w:sz w:val="28"/>
          <w:szCs w:val="28"/>
        </w:rPr>
      </w:pPr>
      <w:r>
        <w:rPr>
          <w:sz w:val="28"/>
          <w:szCs w:val="28"/>
        </w:rPr>
        <w:t>Dated: …………Completed by…………………………………………………………………………………………………………</w:t>
      </w:r>
      <w:proofErr w:type="gramStart"/>
      <w:r>
        <w:rPr>
          <w:sz w:val="28"/>
          <w:szCs w:val="28"/>
        </w:rPr>
        <w:t>…..</w:t>
      </w:r>
      <w:proofErr w:type="gramEnd"/>
    </w:p>
    <w:p w14:paraId="527E297C" w14:textId="2F016029" w:rsidR="0043206B" w:rsidRDefault="0043206B">
      <w:pPr>
        <w:rPr>
          <w:sz w:val="28"/>
          <w:szCs w:val="28"/>
        </w:rPr>
      </w:pPr>
      <w:r>
        <w:rPr>
          <w:sz w:val="28"/>
          <w:szCs w:val="28"/>
        </w:rPr>
        <w:t xml:space="preserve"> </w:t>
      </w:r>
    </w:p>
    <w:tbl>
      <w:tblPr>
        <w:tblStyle w:val="TableGrid"/>
        <w:tblW w:w="0" w:type="auto"/>
        <w:tblLook w:val="04A0" w:firstRow="1" w:lastRow="0" w:firstColumn="1" w:lastColumn="0" w:noHBand="0" w:noVBand="1"/>
      </w:tblPr>
      <w:tblGrid>
        <w:gridCol w:w="2075"/>
        <w:gridCol w:w="4159"/>
        <w:gridCol w:w="32"/>
        <w:gridCol w:w="1524"/>
        <w:gridCol w:w="8"/>
        <w:gridCol w:w="3372"/>
        <w:gridCol w:w="2778"/>
      </w:tblGrid>
      <w:tr w:rsidR="005178F6" w14:paraId="3953E682" w14:textId="77777777" w:rsidTr="00FB128B">
        <w:tc>
          <w:tcPr>
            <w:tcW w:w="2075" w:type="dxa"/>
          </w:tcPr>
          <w:p w14:paraId="57A8CBB9" w14:textId="77777777" w:rsidR="005178F6" w:rsidRPr="00F61BAD" w:rsidRDefault="005178F6" w:rsidP="006B2E21">
            <w:pPr>
              <w:autoSpaceDE w:val="0"/>
              <w:autoSpaceDN w:val="0"/>
              <w:adjustRightInd w:val="0"/>
              <w:rPr>
                <w:rFonts w:ascii="Arial" w:hAnsi="Arial" w:cs="Arial"/>
                <w:b/>
                <w:bCs/>
              </w:rPr>
            </w:pPr>
            <w:r w:rsidRPr="00F61BAD">
              <w:rPr>
                <w:rFonts w:ascii="Arial" w:hAnsi="Arial" w:cs="Arial"/>
                <w:b/>
                <w:bCs/>
              </w:rPr>
              <w:t xml:space="preserve">Section </w:t>
            </w:r>
          </w:p>
          <w:p w14:paraId="019C6ED3" w14:textId="77777777" w:rsidR="005178F6" w:rsidRPr="00F61BAD" w:rsidRDefault="005178F6" w:rsidP="006B2E21"/>
        </w:tc>
        <w:tc>
          <w:tcPr>
            <w:tcW w:w="4161" w:type="dxa"/>
          </w:tcPr>
          <w:p w14:paraId="6954365E" w14:textId="77777777" w:rsidR="005178F6" w:rsidRPr="00F61BAD" w:rsidRDefault="005178F6" w:rsidP="006B2E21">
            <w:r w:rsidRPr="00F61BAD">
              <w:rPr>
                <w:rFonts w:ascii="Arial" w:hAnsi="Arial" w:cs="Arial"/>
                <w:b/>
                <w:bCs/>
              </w:rPr>
              <w:t>Criteria</w:t>
            </w:r>
          </w:p>
        </w:tc>
        <w:tc>
          <w:tcPr>
            <w:tcW w:w="1556" w:type="dxa"/>
            <w:gridSpan w:val="2"/>
          </w:tcPr>
          <w:p w14:paraId="5EB6AA4F" w14:textId="77777777" w:rsidR="005178F6" w:rsidRPr="00F61BAD" w:rsidRDefault="005178F6" w:rsidP="006B2E21">
            <w:pPr>
              <w:autoSpaceDE w:val="0"/>
              <w:autoSpaceDN w:val="0"/>
              <w:adjustRightInd w:val="0"/>
              <w:rPr>
                <w:rFonts w:ascii="Arial" w:hAnsi="Arial" w:cs="Arial"/>
                <w:b/>
                <w:bCs/>
              </w:rPr>
            </w:pPr>
            <w:r w:rsidRPr="00F61BAD">
              <w:rPr>
                <w:rFonts w:ascii="Arial" w:hAnsi="Arial" w:cs="Arial"/>
                <w:b/>
                <w:bCs/>
              </w:rPr>
              <w:t>Compliance</w:t>
            </w:r>
          </w:p>
          <w:p w14:paraId="20B08F2A" w14:textId="77777777" w:rsidR="005178F6" w:rsidRPr="00F61BAD" w:rsidRDefault="005178F6" w:rsidP="006B2E21">
            <w:pPr>
              <w:autoSpaceDE w:val="0"/>
              <w:autoSpaceDN w:val="0"/>
              <w:adjustRightInd w:val="0"/>
              <w:rPr>
                <w:rFonts w:ascii="Arial" w:hAnsi="Arial" w:cs="Arial"/>
                <w:b/>
                <w:bCs/>
              </w:rPr>
            </w:pPr>
            <w:r w:rsidRPr="00F61BAD">
              <w:rPr>
                <w:rFonts w:ascii="Arial" w:hAnsi="Arial" w:cs="Arial"/>
                <w:b/>
                <w:bCs/>
              </w:rPr>
              <w:t>Y    N      N/A</w:t>
            </w:r>
          </w:p>
          <w:p w14:paraId="3070F867" w14:textId="77777777" w:rsidR="005178F6" w:rsidRPr="00F61BAD" w:rsidRDefault="005178F6" w:rsidP="006B2E21"/>
        </w:tc>
        <w:tc>
          <w:tcPr>
            <w:tcW w:w="3381" w:type="dxa"/>
            <w:gridSpan w:val="2"/>
          </w:tcPr>
          <w:p w14:paraId="78F65F75" w14:textId="77777777" w:rsidR="005178F6" w:rsidRPr="00F61BAD" w:rsidRDefault="00513B8B" w:rsidP="006B2E21">
            <w:r>
              <w:rPr>
                <w:rFonts w:ascii="Arial" w:hAnsi="Arial" w:cs="Arial"/>
                <w:b/>
                <w:bCs/>
              </w:rPr>
              <w:t>Comments/</w:t>
            </w:r>
            <w:r w:rsidR="005178F6" w:rsidRPr="00F61BAD">
              <w:rPr>
                <w:rFonts w:ascii="Arial" w:hAnsi="Arial" w:cs="Arial"/>
                <w:b/>
                <w:bCs/>
              </w:rPr>
              <w:t>Action Required</w:t>
            </w:r>
          </w:p>
        </w:tc>
        <w:tc>
          <w:tcPr>
            <w:tcW w:w="2775" w:type="dxa"/>
          </w:tcPr>
          <w:p w14:paraId="1EB8F5C1" w14:textId="77777777" w:rsidR="005178F6" w:rsidRPr="00F61BAD" w:rsidRDefault="005178F6" w:rsidP="006B2E21">
            <w:pPr>
              <w:autoSpaceDE w:val="0"/>
              <w:autoSpaceDN w:val="0"/>
              <w:adjustRightInd w:val="0"/>
              <w:rPr>
                <w:rFonts w:ascii="Arial" w:hAnsi="Arial" w:cs="Arial"/>
                <w:b/>
                <w:bCs/>
              </w:rPr>
            </w:pPr>
            <w:r w:rsidRPr="00F61BAD">
              <w:rPr>
                <w:rFonts w:ascii="Arial" w:hAnsi="Arial" w:cs="Arial"/>
                <w:b/>
                <w:bCs/>
              </w:rPr>
              <w:t>To be</w:t>
            </w:r>
          </w:p>
          <w:p w14:paraId="38B8B678" w14:textId="77777777" w:rsidR="005178F6" w:rsidRPr="00F61BAD" w:rsidRDefault="005178F6" w:rsidP="006B2E21">
            <w:pPr>
              <w:autoSpaceDE w:val="0"/>
              <w:autoSpaceDN w:val="0"/>
              <w:adjustRightInd w:val="0"/>
              <w:rPr>
                <w:rFonts w:ascii="Arial" w:hAnsi="Arial" w:cs="Arial"/>
                <w:b/>
                <w:bCs/>
              </w:rPr>
            </w:pPr>
            <w:r w:rsidRPr="00F61BAD">
              <w:rPr>
                <w:rFonts w:ascii="Arial" w:hAnsi="Arial" w:cs="Arial"/>
                <w:b/>
                <w:bCs/>
              </w:rPr>
              <w:t>completed by:</w:t>
            </w:r>
          </w:p>
          <w:p w14:paraId="213CECC4" w14:textId="77777777" w:rsidR="005178F6" w:rsidRPr="00F61BAD" w:rsidRDefault="005178F6" w:rsidP="006B2E21"/>
        </w:tc>
      </w:tr>
      <w:tr w:rsidR="005178F6" w14:paraId="491C485B" w14:textId="77777777" w:rsidTr="00FB128B">
        <w:tc>
          <w:tcPr>
            <w:tcW w:w="2075" w:type="dxa"/>
          </w:tcPr>
          <w:p w14:paraId="62BED1C1" w14:textId="77777777" w:rsidR="005178F6" w:rsidRPr="00F61BAD" w:rsidRDefault="002925B3">
            <w:pPr>
              <w:rPr>
                <w:b/>
              </w:rPr>
            </w:pPr>
            <w:r>
              <w:rPr>
                <w:b/>
              </w:rPr>
              <w:t>Emergency Preparedness</w:t>
            </w:r>
          </w:p>
        </w:tc>
        <w:tc>
          <w:tcPr>
            <w:tcW w:w="4161" w:type="dxa"/>
          </w:tcPr>
          <w:p w14:paraId="4D81D2B9" w14:textId="77777777" w:rsidR="005178F6" w:rsidRPr="00F61BAD" w:rsidRDefault="002925B3">
            <w:r>
              <w:t>Hospital Trusts must include the Pathology department and HTT in Major Incident planning</w:t>
            </w:r>
          </w:p>
        </w:tc>
        <w:tc>
          <w:tcPr>
            <w:tcW w:w="1556" w:type="dxa"/>
            <w:gridSpan w:val="2"/>
          </w:tcPr>
          <w:p w14:paraId="087DD57B" w14:textId="77777777" w:rsidR="005178F6" w:rsidRPr="00F61BAD" w:rsidRDefault="005178F6"/>
        </w:tc>
        <w:tc>
          <w:tcPr>
            <w:tcW w:w="3381" w:type="dxa"/>
            <w:gridSpan w:val="2"/>
          </w:tcPr>
          <w:p w14:paraId="5E739417" w14:textId="77777777" w:rsidR="002925B3" w:rsidRPr="00F61BAD" w:rsidRDefault="002925B3"/>
        </w:tc>
        <w:tc>
          <w:tcPr>
            <w:tcW w:w="2775" w:type="dxa"/>
          </w:tcPr>
          <w:p w14:paraId="13053057" w14:textId="77777777" w:rsidR="005178F6" w:rsidRPr="00F61BAD" w:rsidRDefault="005178F6"/>
        </w:tc>
      </w:tr>
      <w:tr w:rsidR="005178F6" w14:paraId="5D9EB784" w14:textId="77777777" w:rsidTr="00FB128B">
        <w:tc>
          <w:tcPr>
            <w:tcW w:w="2075" w:type="dxa"/>
          </w:tcPr>
          <w:p w14:paraId="5D10A13A" w14:textId="77777777" w:rsidR="005178F6" w:rsidRPr="00F61BAD" w:rsidRDefault="005178F6"/>
        </w:tc>
        <w:tc>
          <w:tcPr>
            <w:tcW w:w="4161" w:type="dxa"/>
          </w:tcPr>
          <w:p w14:paraId="62060390" w14:textId="77777777" w:rsidR="005178F6" w:rsidRPr="00F61BAD" w:rsidRDefault="009C6E75">
            <w:r w:rsidRPr="009C6E75">
              <w:t>Ambulance Services should have arrangements with pre-selected Transfusion Laboratories for the provision of blood to scene in Major Incidents.</w:t>
            </w:r>
          </w:p>
        </w:tc>
        <w:tc>
          <w:tcPr>
            <w:tcW w:w="1556" w:type="dxa"/>
            <w:gridSpan w:val="2"/>
          </w:tcPr>
          <w:p w14:paraId="1BC38ED2" w14:textId="77777777" w:rsidR="005178F6" w:rsidRPr="00F61BAD" w:rsidRDefault="005178F6"/>
        </w:tc>
        <w:tc>
          <w:tcPr>
            <w:tcW w:w="3381" w:type="dxa"/>
            <w:gridSpan w:val="2"/>
          </w:tcPr>
          <w:p w14:paraId="384ACA28" w14:textId="77777777" w:rsidR="005178F6" w:rsidRPr="00F61BAD" w:rsidRDefault="005178F6"/>
        </w:tc>
        <w:tc>
          <w:tcPr>
            <w:tcW w:w="2775" w:type="dxa"/>
          </w:tcPr>
          <w:p w14:paraId="283A3F64" w14:textId="77777777" w:rsidR="005178F6" w:rsidRPr="00F61BAD" w:rsidRDefault="005178F6"/>
        </w:tc>
      </w:tr>
      <w:tr w:rsidR="005178F6" w14:paraId="2A548A0C" w14:textId="77777777" w:rsidTr="00FB128B">
        <w:tc>
          <w:tcPr>
            <w:tcW w:w="2075" w:type="dxa"/>
          </w:tcPr>
          <w:p w14:paraId="2CF33B24" w14:textId="77777777" w:rsidR="005178F6" w:rsidRPr="00F61BAD" w:rsidRDefault="005178F6"/>
        </w:tc>
        <w:tc>
          <w:tcPr>
            <w:tcW w:w="4161" w:type="dxa"/>
          </w:tcPr>
          <w:p w14:paraId="0A30950B" w14:textId="77777777" w:rsidR="005178F6" w:rsidRPr="00F61BAD" w:rsidRDefault="009C6E75">
            <w:r w:rsidRPr="009C6E75">
              <w:t>Staff should be placed where most transfusion samples are being collected and transfusion is taking place</w:t>
            </w:r>
          </w:p>
        </w:tc>
        <w:tc>
          <w:tcPr>
            <w:tcW w:w="1556" w:type="dxa"/>
            <w:gridSpan w:val="2"/>
          </w:tcPr>
          <w:p w14:paraId="04D28CFC" w14:textId="77777777" w:rsidR="005178F6" w:rsidRPr="00F61BAD" w:rsidRDefault="005178F6"/>
        </w:tc>
        <w:tc>
          <w:tcPr>
            <w:tcW w:w="3381" w:type="dxa"/>
            <w:gridSpan w:val="2"/>
          </w:tcPr>
          <w:p w14:paraId="1C7745B0" w14:textId="77777777" w:rsidR="005178F6" w:rsidRPr="009A4895" w:rsidRDefault="005178F6"/>
        </w:tc>
        <w:tc>
          <w:tcPr>
            <w:tcW w:w="2775" w:type="dxa"/>
          </w:tcPr>
          <w:p w14:paraId="26B935E0" w14:textId="77777777" w:rsidR="005178F6" w:rsidRPr="00F61BAD" w:rsidRDefault="005178F6"/>
        </w:tc>
      </w:tr>
      <w:tr w:rsidR="005178F6" w14:paraId="29A4230E" w14:textId="77777777" w:rsidTr="00FB128B">
        <w:tc>
          <w:tcPr>
            <w:tcW w:w="2075" w:type="dxa"/>
          </w:tcPr>
          <w:p w14:paraId="0840C6A1" w14:textId="77777777" w:rsidR="005178F6" w:rsidRPr="00513B8B" w:rsidRDefault="005178F6">
            <w:pPr>
              <w:rPr>
                <w:b/>
                <w:highlight w:val="yellow"/>
              </w:rPr>
            </w:pPr>
          </w:p>
        </w:tc>
        <w:tc>
          <w:tcPr>
            <w:tcW w:w="4161" w:type="dxa"/>
          </w:tcPr>
          <w:p w14:paraId="3810C0EA" w14:textId="77777777" w:rsidR="005178F6" w:rsidRPr="00513B8B" w:rsidRDefault="009C6E75" w:rsidP="002F1A27">
            <w:pPr>
              <w:rPr>
                <w:highlight w:val="yellow"/>
              </w:rPr>
            </w:pPr>
            <w:r w:rsidRPr="009A4895">
              <w:t>Members of the extended transfusion team may be used to assist in a range of supporting activities</w:t>
            </w:r>
          </w:p>
        </w:tc>
        <w:tc>
          <w:tcPr>
            <w:tcW w:w="1556" w:type="dxa"/>
            <w:gridSpan w:val="2"/>
          </w:tcPr>
          <w:p w14:paraId="75C5B436" w14:textId="77777777" w:rsidR="005178F6" w:rsidRPr="00513B8B" w:rsidRDefault="005178F6">
            <w:pPr>
              <w:rPr>
                <w:highlight w:val="yellow"/>
              </w:rPr>
            </w:pPr>
          </w:p>
        </w:tc>
        <w:tc>
          <w:tcPr>
            <w:tcW w:w="3381" w:type="dxa"/>
            <w:gridSpan w:val="2"/>
          </w:tcPr>
          <w:p w14:paraId="3C9F6857" w14:textId="77777777" w:rsidR="009A4895" w:rsidRPr="009A4895" w:rsidRDefault="009A4895"/>
        </w:tc>
        <w:tc>
          <w:tcPr>
            <w:tcW w:w="2775" w:type="dxa"/>
          </w:tcPr>
          <w:p w14:paraId="4A729AA9" w14:textId="77777777" w:rsidR="00DF3D8E" w:rsidRPr="009A4895" w:rsidRDefault="00DF3D8E"/>
        </w:tc>
      </w:tr>
      <w:tr w:rsidR="005178F6" w14:paraId="25891CFC" w14:textId="77777777" w:rsidTr="00FB128B">
        <w:tc>
          <w:tcPr>
            <w:tcW w:w="2075" w:type="dxa"/>
          </w:tcPr>
          <w:p w14:paraId="18E1ABE0" w14:textId="77777777" w:rsidR="005178F6" w:rsidRPr="00F61BAD" w:rsidRDefault="005178F6"/>
        </w:tc>
        <w:tc>
          <w:tcPr>
            <w:tcW w:w="4161" w:type="dxa"/>
          </w:tcPr>
          <w:p w14:paraId="248B7769" w14:textId="77777777" w:rsidR="005178F6" w:rsidRPr="00F61BAD" w:rsidRDefault="009C6E75" w:rsidP="002F1A27">
            <w:r w:rsidRPr="009C6E75">
              <w:t xml:space="preserve">Hospital transfusion laboratories may consider moving stocks of universal blood components to key clinical areas for use in a Major Incident.  Where blood is moved, secure systems should be in place for blood </w:t>
            </w:r>
            <w:r w:rsidRPr="009C6E75">
              <w:lastRenderedPageBreak/>
              <w:t>selection, maintaining the cold chain, and traceability records.</w:t>
            </w:r>
          </w:p>
        </w:tc>
        <w:tc>
          <w:tcPr>
            <w:tcW w:w="1556" w:type="dxa"/>
            <w:gridSpan w:val="2"/>
          </w:tcPr>
          <w:p w14:paraId="1570B21E" w14:textId="77777777" w:rsidR="005178F6" w:rsidRPr="00F61BAD" w:rsidRDefault="005178F6"/>
        </w:tc>
        <w:tc>
          <w:tcPr>
            <w:tcW w:w="3381" w:type="dxa"/>
            <w:gridSpan w:val="2"/>
          </w:tcPr>
          <w:p w14:paraId="1F6DDA81" w14:textId="77777777" w:rsidR="005178F6" w:rsidRPr="00F61BAD" w:rsidRDefault="005178F6" w:rsidP="009A4895"/>
        </w:tc>
        <w:tc>
          <w:tcPr>
            <w:tcW w:w="2775" w:type="dxa"/>
          </w:tcPr>
          <w:p w14:paraId="546443C7" w14:textId="77777777" w:rsidR="005178F6" w:rsidRPr="00F61BAD" w:rsidRDefault="005178F6"/>
        </w:tc>
      </w:tr>
      <w:tr w:rsidR="005178F6" w14:paraId="4060EBEE" w14:textId="77777777" w:rsidTr="00FB128B">
        <w:tc>
          <w:tcPr>
            <w:tcW w:w="2075" w:type="dxa"/>
          </w:tcPr>
          <w:p w14:paraId="1829B469" w14:textId="77777777" w:rsidR="005178F6" w:rsidRPr="00513B8B" w:rsidRDefault="005178F6">
            <w:pPr>
              <w:rPr>
                <w:highlight w:val="yellow"/>
              </w:rPr>
            </w:pPr>
          </w:p>
        </w:tc>
        <w:tc>
          <w:tcPr>
            <w:tcW w:w="4161" w:type="dxa"/>
          </w:tcPr>
          <w:p w14:paraId="12FAD0DA" w14:textId="77777777" w:rsidR="005178F6" w:rsidRPr="00513B8B" w:rsidRDefault="009C6E75" w:rsidP="002F1A27">
            <w:pPr>
              <w:rPr>
                <w:highlight w:val="yellow"/>
              </w:rPr>
            </w:pPr>
            <w:r w:rsidRPr="009A4895">
              <w:t>The consultant with responsibility for transfusion and the Transfusion Laboratory Manager are responsible for maintaining their own departmental action cards</w:t>
            </w:r>
          </w:p>
        </w:tc>
        <w:tc>
          <w:tcPr>
            <w:tcW w:w="1556" w:type="dxa"/>
            <w:gridSpan w:val="2"/>
          </w:tcPr>
          <w:p w14:paraId="3B2AF138" w14:textId="77777777" w:rsidR="005178F6" w:rsidRPr="00513B8B" w:rsidRDefault="005178F6">
            <w:pPr>
              <w:rPr>
                <w:highlight w:val="yellow"/>
              </w:rPr>
            </w:pPr>
          </w:p>
        </w:tc>
        <w:tc>
          <w:tcPr>
            <w:tcW w:w="3381" w:type="dxa"/>
            <w:gridSpan w:val="2"/>
          </w:tcPr>
          <w:p w14:paraId="7974C9C2" w14:textId="77777777" w:rsidR="005178F6" w:rsidRPr="00513B8B" w:rsidRDefault="005178F6">
            <w:pPr>
              <w:rPr>
                <w:highlight w:val="yellow"/>
              </w:rPr>
            </w:pPr>
          </w:p>
        </w:tc>
        <w:tc>
          <w:tcPr>
            <w:tcW w:w="2775" w:type="dxa"/>
          </w:tcPr>
          <w:p w14:paraId="106CFE35" w14:textId="77777777" w:rsidR="005178F6" w:rsidRPr="00F61BAD" w:rsidRDefault="005178F6"/>
        </w:tc>
      </w:tr>
      <w:tr w:rsidR="005178F6" w14:paraId="5C74E6FA" w14:textId="77777777" w:rsidTr="00FB128B">
        <w:tc>
          <w:tcPr>
            <w:tcW w:w="2075" w:type="dxa"/>
          </w:tcPr>
          <w:p w14:paraId="6147D789" w14:textId="77777777" w:rsidR="005178F6" w:rsidRPr="00F61BAD" w:rsidRDefault="005178F6"/>
        </w:tc>
        <w:tc>
          <w:tcPr>
            <w:tcW w:w="4161" w:type="dxa"/>
          </w:tcPr>
          <w:p w14:paraId="1C2486F3" w14:textId="77777777" w:rsidR="005178F6" w:rsidRPr="00F61BAD" w:rsidRDefault="009C6E75" w:rsidP="002F1A27">
            <w:r w:rsidRPr="009C6E75">
              <w:t>Hospital Transfusion Laboratories should be aware of their Trust’s pre-determined casualty plan in the context of a MCE.</w:t>
            </w:r>
          </w:p>
        </w:tc>
        <w:tc>
          <w:tcPr>
            <w:tcW w:w="1556" w:type="dxa"/>
            <w:gridSpan w:val="2"/>
          </w:tcPr>
          <w:p w14:paraId="4059EC7F" w14:textId="77777777" w:rsidR="005178F6" w:rsidRPr="00F61BAD" w:rsidRDefault="005178F6"/>
        </w:tc>
        <w:tc>
          <w:tcPr>
            <w:tcW w:w="3381" w:type="dxa"/>
            <w:gridSpan w:val="2"/>
          </w:tcPr>
          <w:p w14:paraId="54D2A445" w14:textId="77777777" w:rsidR="005178F6" w:rsidRPr="00F61BAD" w:rsidRDefault="005178F6"/>
        </w:tc>
        <w:tc>
          <w:tcPr>
            <w:tcW w:w="2775" w:type="dxa"/>
          </w:tcPr>
          <w:p w14:paraId="2FF4C6A1" w14:textId="77777777" w:rsidR="005178F6" w:rsidRPr="00F61BAD" w:rsidRDefault="005178F6"/>
        </w:tc>
      </w:tr>
      <w:tr w:rsidR="005178F6" w14:paraId="08BD4974" w14:textId="77777777" w:rsidTr="00FB128B">
        <w:tc>
          <w:tcPr>
            <w:tcW w:w="2075" w:type="dxa"/>
          </w:tcPr>
          <w:p w14:paraId="0BCDF285" w14:textId="77777777" w:rsidR="005178F6" w:rsidRPr="00F61BAD" w:rsidRDefault="009C6E75">
            <w:pPr>
              <w:rPr>
                <w:b/>
              </w:rPr>
            </w:pPr>
            <w:r>
              <w:rPr>
                <w:b/>
              </w:rPr>
              <w:t>Incident Notification and communication</w:t>
            </w:r>
          </w:p>
        </w:tc>
        <w:tc>
          <w:tcPr>
            <w:tcW w:w="4161" w:type="dxa"/>
          </w:tcPr>
          <w:p w14:paraId="76DD88CB" w14:textId="77777777" w:rsidR="005178F6" w:rsidRPr="00F61BAD" w:rsidRDefault="009C6E75" w:rsidP="00FB2286">
            <w:r w:rsidRPr="009C6E75">
              <w:t>The initial internal communication cascade or call-out list should include the Transfusion Laboratory,</w:t>
            </w:r>
          </w:p>
        </w:tc>
        <w:tc>
          <w:tcPr>
            <w:tcW w:w="1556" w:type="dxa"/>
            <w:gridSpan w:val="2"/>
          </w:tcPr>
          <w:p w14:paraId="2BD5C198" w14:textId="77777777" w:rsidR="005178F6" w:rsidRPr="00F61BAD" w:rsidRDefault="005178F6"/>
        </w:tc>
        <w:tc>
          <w:tcPr>
            <w:tcW w:w="3381" w:type="dxa"/>
            <w:gridSpan w:val="2"/>
          </w:tcPr>
          <w:p w14:paraId="4270A2C9" w14:textId="77777777" w:rsidR="005178F6" w:rsidRPr="00F61BAD" w:rsidRDefault="005178F6"/>
        </w:tc>
        <w:tc>
          <w:tcPr>
            <w:tcW w:w="2775" w:type="dxa"/>
          </w:tcPr>
          <w:p w14:paraId="7621C631" w14:textId="77777777" w:rsidR="005178F6" w:rsidRPr="00F61BAD" w:rsidRDefault="005178F6"/>
        </w:tc>
      </w:tr>
      <w:tr w:rsidR="005178F6" w14:paraId="4E1BE265" w14:textId="77777777" w:rsidTr="00FB128B">
        <w:tc>
          <w:tcPr>
            <w:tcW w:w="2075" w:type="dxa"/>
          </w:tcPr>
          <w:p w14:paraId="60B7A029" w14:textId="77777777" w:rsidR="005178F6" w:rsidRPr="00F61BAD" w:rsidRDefault="005178F6"/>
        </w:tc>
        <w:tc>
          <w:tcPr>
            <w:tcW w:w="4161" w:type="dxa"/>
          </w:tcPr>
          <w:p w14:paraId="7F88277F" w14:textId="77777777" w:rsidR="005178F6" w:rsidRPr="00F61BAD" w:rsidRDefault="009C6E75" w:rsidP="00FB2286">
            <w:r w:rsidRPr="009C6E75">
              <w:t>Hospital Transfusion Laboratories are currently advised to inform the Hospital Services department of the local NHSBT centre /stock holding unit once the hospital has been notified of a Major Incident and again when stood down</w:t>
            </w:r>
          </w:p>
        </w:tc>
        <w:tc>
          <w:tcPr>
            <w:tcW w:w="1556" w:type="dxa"/>
            <w:gridSpan w:val="2"/>
          </w:tcPr>
          <w:p w14:paraId="256034D7" w14:textId="77777777" w:rsidR="005178F6" w:rsidRPr="00F61BAD" w:rsidRDefault="005178F6"/>
        </w:tc>
        <w:tc>
          <w:tcPr>
            <w:tcW w:w="3381" w:type="dxa"/>
            <w:gridSpan w:val="2"/>
          </w:tcPr>
          <w:p w14:paraId="76D7DFC3" w14:textId="77777777" w:rsidR="005178F6" w:rsidRPr="00F61BAD" w:rsidRDefault="005178F6"/>
        </w:tc>
        <w:tc>
          <w:tcPr>
            <w:tcW w:w="2775" w:type="dxa"/>
          </w:tcPr>
          <w:p w14:paraId="52B03CDE" w14:textId="77777777" w:rsidR="005178F6" w:rsidRPr="00F61BAD" w:rsidRDefault="005178F6"/>
        </w:tc>
      </w:tr>
      <w:tr w:rsidR="005178F6" w14:paraId="7D426DC5" w14:textId="77777777" w:rsidTr="00FB128B">
        <w:tc>
          <w:tcPr>
            <w:tcW w:w="2075" w:type="dxa"/>
          </w:tcPr>
          <w:p w14:paraId="1EC91D0D" w14:textId="77777777" w:rsidR="005178F6" w:rsidRPr="00F61BAD" w:rsidRDefault="005178F6"/>
        </w:tc>
        <w:tc>
          <w:tcPr>
            <w:tcW w:w="4161" w:type="dxa"/>
          </w:tcPr>
          <w:p w14:paraId="246C45D4" w14:textId="77777777" w:rsidR="005178F6" w:rsidRPr="00F61BAD" w:rsidRDefault="009C6E75" w:rsidP="00FB2286">
            <w:r w:rsidRPr="009C6E75">
              <w:t>Trusts should have protocols for alternative means of internal and external communication in the event of a failure of traditional or digital telecommunication technology.</w:t>
            </w:r>
          </w:p>
        </w:tc>
        <w:tc>
          <w:tcPr>
            <w:tcW w:w="1556" w:type="dxa"/>
            <w:gridSpan w:val="2"/>
          </w:tcPr>
          <w:p w14:paraId="68BFA224" w14:textId="77777777" w:rsidR="005178F6" w:rsidRPr="00F61BAD" w:rsidRDefault="005178F6"/>
        </w:tc>
        <w:tc>
          <w:tcPr>
            <w:tcW w:w="3381" w:type="dxa"/>
            <w:gridSpan w:val="2"/>
          </w:tcPr>
          <w:p w14:paraId="1ABC2DE6" w14:textId="77777777" w:rsidR="005178F6" w:rsidRPr="00F61BAD" w:rsidRDefault="005178F6"/>
        </w:tc>
        <w:tc>
          <w:tcPr>
            <w:tcW w:w="2775" w:type="dxa"/>
          </w:tcPr>
          <w:p w14:paraId="40399CD5" w14:textId="77777777" w:rsidR="005178F6" w:rsidRPr="00F61BAD" w:rsidRDefault="005178F6"/>
        </w:tc>
      </w:tr>
      <w:tr w:rsidR="005178F6" w14:paraId="293DC9DB" w14:textId="77777777" w:rsidTr="00FB128B">
        <w:tc>
          <w:tcPr>
            <w:tcW w:w="2075" w:type="dxa"/>
          </w:tcPr>
          <w:p w14:paraId="787A08F6" w14:textId="77777777" w:rsidR="005178F6" w:rsidRPr="00F61BAD" w:rsidRDefault="005178F6">
            <w:pPr>
              <w:rPr>
                <w:b/>
              </w:rPr>
            </w:pPr>
          </w:p>
        </w:tc>
        <w:tc>
          <w:tcPr>
            <w:tcW w:w="4161" w:type="dxa"/>
          </w:tcPr>
          <w:p w14:paraId="7CB6C2DE" w14:textId="77777777" w:rsidR="005178F6" w:rsidRPr="00F61BAD" w:rsidRDefault="009C6E75" w:rsidP="005178F6">
            <w:pPr>
              <w:spacing w:before="100" w:beforeAutospacing="1" w:after="100" w:afterAutospacing="1"/>
            </w:pPr>
            <w:r w:rsidRPr="009C6E75">
              <w:t>Hospital Transfusion Laboratories should be permitted to maintain ongoing communication with NHSBT. It is recommended that hospitals consider retaining external phone lines for communication as a resilience measure.</w:t>
            </w:r>
          </w:p>
        </w:tc>
        <w:tc>
          <w:tcPr>
            <w:tcW w:w="1556" w:type="dxa"/>
            <w:gridSpan w:val="2"/>
          </w:tcPr>
          <w:p w14:paraId="0A5EC872" w14:textId="77777777" w:rsidR="005178F6" w:rsidRPr="00F61BAD" w:rsidRDefault="005178F6"/>
        </w:tc>
        <w:tc>
          <w:tcPr>
            <w:tcW w:w="3381" w:type="dxa"/>
            <w:gridSpan w:val="2"/>
          </w:tcPr>
          <w:p w14:paraId="713C7263" w14:textId="77777777" w:rsidR="005178F6" w:rsidRPr="00F61BAD" w:rsidRDefault="005178F6"/>
        </w:tc>
        <w:tc>
          <w:tcPr>
            <w:tcW w:w="2775" w:type="dxa"/>
          </w:tcPr>
          <w:p w14:paraId="36FD29EA" w14:textId="77777777" w:rsidR="005178F6" w:rsidRPr="00F61BAD" w:rsidRDefault="005178F6"/>
        </w:tc>
      </w:tr>
      <w:tr w:rsidR="005178F6" w14:paraId="5CFD9814" w14:textId="77777777" w:rsidTr="00FB128B">
        <w:tc>
          <w:tcPr>
            <w:tcW w:w="2075" w:type="dxa"/>
          </w:tcPr>
          <w:p w14:paraId="427593DA" w14:textId="77777777" w:rsidR="005178F6" w:rsidRPr="00F61BAD" w:rsidRDefault="005178F6"/>
        </w:tc>
        <w:tc>
          <w:tcPr>
            <w:tcW w:w="4161" w:type="dxa"/>
          </w:tcPr>
          <w:p w14:paraId="33B5DC00" w14:textId="69EE8D91" w:rsidR="0043206B" w:rsidRPr="00F61BAD" w:rsidRDefault="009C6E75" w:rsidP="005178F6">
            <w:pPr>
              <w:spacing w:before="100" w:beforeAutospacing="1" w:after="100" w:afterAutospacing="1"/>
            </w:pPr>
            <w:r w:rsidRPr="009C6E75">
              <w:t>Press enquiries should be referred to the Trust’s Press Liaison Officer. All communications for potential blood donors should be led by NHSBT.</w:t>
            </w:r>
          </w:p>
        </w:tc>
        <w:tc>
          <w:tcPr>
            <w:tcW w:w="1556" w:type="dxa"/>
            <w:gridSpan w:val="2"/>
          </w:tcPr>
          <w:p w14:paraId="62C5C29E" w14:textId="77777777" w:rsidR="005178F6" w:rsidRPr="00F61BAD" w:rsidRDefault="005178F6"/>
        </w:tc>
        <w:tc>
          <w:tcPr>
            <w:tcW w:w="3381" w:type="dxa"/>
            <w:gridSpan w:val="2"/>
          </w:tcPr>
          <w:p w14:paraId="57C80056" w14:textId="77777777" w:rsidR="005178F6" w:rsidRPr="00F61BAD" w:rsidRDefault="005178F6"/>
        </w:tc>
        <w:tc>
          <w:tcPr>
            <w:tcW w:w="2775" w:type="dxa"/>
          </w:tcPr>
          <w:p w14:paraId="2EC1D463" w14:textId="77777777" w:rsidR="00BD34D1" w:rsidRPr="00F61BAD" w:rsidRDefault="00BD34D1"/>
        </w:tc>
      </w:tr>
      <w:tr w:rsidR="000D29A5" w14:paraId="6D48F1DD" w14:textId="77777777" w:rsidTr="00FB128B">
        <w:tc>
          <w:tcPr>
            <w:tcW w:w="2076" w:type="dxa"/>
          </w:tcPr>
          <w:p w14:paraId="07C0275D" w14:textId="742DF6BD" w:rsidR="000D29A5" w:rsidRPr="00547725" w:rsidRDefault="0043206B">
            <w:pPr>
              <w:rPr>
                <w:b/>
              </w:rPr>
            </w:pPr>
            <w:r>
              <w:lastRenderedPageBreak/>
              <w:br w:type="page"/>
            </w:r>
            <w:r w:rsidR="00547725" w:rsidRPr="00547725">
              <w:rPr>
                <w:b/>
              </w:rPr>
              <w:t>Hospital Transfusion Laboratory Response</w:t>
            </w:r>
          </w:p>
        </w:tc>
        <w:tc>
          <w:tcPr>
            <w:tcW w:w="4193" w:type="dxa"/>
            <w:gridSpan w:val="2"/>
          </w:tcPr>
          <w:p w14:paraId="71B2C411" w14:textId="77777777" w:rsidR="000D29A5" w:rsidRPr="00F61BAD" w:rsidRDefault="00547725" w:rsidP="005178F6">
            <w:pPr>
              <w:spacing w:before="100" w:beforeAutospacing="1" w:after="100" w:afterAutospacing="1"/>
            </w:pPr>
            <w:r w:rsidRPr="00547725">
              <w:t>A senior member of the Hospital Transfusion Laboratory should assume responsibility for transfusion services and assess the required response</w:t>
            </w:r>
          </w:p>
        </w:tc>
        <w:tc>
          <w:tcPr>
            <w:tcW w:w="1532" w:type="dxa"/>
            <w:gridSpan w:val="2"/>
          </w:tcPr>
          <w:p w14:paraId="7218C399" w14:textId="77777777" w:rsidR="000D29A5" w:rsidRPr="00F61BAD" w:rsidRDefault="000D29A5" w:rsidP="006B2E21"/>
        </w:tc>
        <w:tc>
          <w:tcPr>
            <w:tcW w:w="3367" w:type="dxa"/>
          </w:tcPr>
          <w:p w14:paraId="3B14B580" w14:textId="77777777" w:rsidR="000D29A5" w:rsidRPr="00F61BAD" w:rsidRDefault="000D29A5" w:rsidP="006B2E21"/>
        </w:tc>
        <w:tc>
          <w:tcPr>
            <w:tcW w:w="2780" w:type="dxa"/>
          </w:tcPr>
          <w:p w14:paraId="2483BF27" w14:textId="77777777" w:rsidR="000D29A5" w:rsidRPr="00F61BAD" w:rsidRDefault="000D29A5"/>
        </w:tc>
      </w:tr>
      <w:tr w:rsidR="005178F6" w14:paraId="44B1643D" w14:textId="77777777" w:rsidTr="00FB128B">
        <w:tc>
          <w:tcPr>
            <w:tcW w:w="2076" w:type="dxa"/>
          </w:tcPr>
          <w:p w14:paraId="22739C0E" w14:textId="77777777" w:rsidR="005178F6" w:rsidRPr="00F61BAD" w:rsidRDefault="005178F6">
            <w:pPr>
              <w:rPr>
                <w:b/>
              </w:rPr>
            </w:pPr>
          </w:p>
        </w:tc>
        <w:tc>
          <w:tcPr>
            <w:tcW w:w="4193" w:type="dxa"/>
            <w:gridSpan w:val="2"/>
          </w:tcPr>
          <w:p w14:paraId="483686CC" w14:textId="77777777" w:rsidR="005178F6" w:rsidRPr="00F61BAD" w:rsidRDefault="00547725" w:rsidP="005178F6">
            <w:pPr>
              <w:spacing w:before="100" w:beforeAutospacing="1" w:after="100" w:afterAutospacing="1"/>
            </w:pPr>
            <w:r w:rsidRPr="00547725">
              <w:t>Staffing. An initial assessment of current laboratory staffing should be undertaken along with determining the need for additional personnel.  Other transfusion staff should be redeployed according to departmental plans. Off-duty staff should not report for duty until advised to do so.  Staff reporting for work should use the pre-determined check-in points according to Trust plans</w:t>
            </w:r>
          </w:p>
        </w:tc>
        <w:tc>
          <w:tcPr>
            <w:tcW w:w="1532" w:type="dxa"/>
            <w:gridSpan w:val="2"/>
          </w:tcPr>
          <w:p w14:paraId="6EDE2569" w14:textId="77777777" w:rsidR="005178F6" w:rsidRPr="00F61BAD" w:rsidRDefault="005178F6"/>
        </w:tc>
        <w:tc>
          <w:tcPr>
            <w:tcW w:w="3367" w:type="dxa"/>
          </w:tcPr>
          <w:p w14:paraId="5B4E1D29" w14:textId="77777777" w:rsidR="005178F6" w:rsidRPr="00F61BAD" w:rsidRDefault="005178F6"/>
        </w:tc>
        <w:tc>
          <w:tcPr>
            <w:tcW w:w="2780" w:type="dxa"/>
          </w:tcPr>
          <w:p w14:paraId="5EC19D03" w14:textId="77777777" w:rsidR="005178F6" w:rsidRPr="00F61BAD" w:rsidRDefault="005178F6"/>
        </w:tc>
      </w:tr>
      <w:tr w:rsidR="005178F6" w14:paraId="181729FE" w14:textId="77777777" w:rsidTr="00FB128B">
        <w:tc>
          <w:tcPr>
            <w:tcW w:w="2076" w:type="dxa"/>
          </w:tcPr>
          <w:p w14:paraId="645F646E" w14:textId="77777777" w:rsidR="005178F6" w:rsidRPr="00F61BAD" w:rsidRDefault="005178F6"/>
        </w:tc>
        <w:tc>
          <w:tcPr>
            <w:tcW w:w="4193" w:type="dxa"/>
            <w:gridSpan w:val="2"/>
          </w:tcPr>
          <w:p w14:paraId="3A9CBBDC" w14:textId="77777777" w:rsidR="005178F6" w:rsidRPr="00F61BAD" w:rsidRDefault="00547725" w:rsidP="005178F6">
            <w:pPr>
              <w:spacing w:before="100" w:beforeAutospacing="1" w:after="100" w:afterAutospacing="1"/>
            </w:pPr>
            <w:r w:rsidRPr="00547725">
              <w:t>Blood Stock &amp; Critical Consumables. Stock levels of blood components within the laboratory and in remote fridges i.e. ED, theatres and satellite fridges should immediately be assessed, as should the availability of other critical consumables, including reagents and transport containers</w:t>
            </w:r>
          </w:p>
        </w:tc>
        <w:tc>
          <w:tcPr>
            <w:tcW w:w="1532" w:type="dxa"/>
            <w:gridSpan w:val="2"/>
          </w:tcPr>
          <w:p w14:paraId="29DFAFFB" w14:textId="77777777" w:rsidR="005178F6" w:rsidRPr="00F61BAD" w:rsidRDefault="005178F6"/>
        </w:tc>
        <w:tc>
          <w:tcPr>
            <w:tcW w:w="3367" w:type="dxa"/>
          </w:tcPr>
          <w:p w14:paraId="056EE77C" w14:textId="77777777" w:rsidR="005178F6" w:rsidRPr="00F61BAD" w:rsidRDefault="005178F6"/>
        </w:tc>
        <w:tc>
          <w:tcPr>
            <w:tcW w:w="2780" w:type="dxa"/>
          </w:tcPr>
          <w:p w14:paraId="0AB33579" w14:textId="77777777" w:rsidR="005178F6" w:rsidRPr="00F61BAD" w:rsidRDefault="005178F6"/>
        </w:tc>
      </w:tr>
      <w:tr w:rsidR="00000CB4" w14:paraId="60215166" w14:textId="77777777" w:rsidTr="00FB128B">
        <w:tc>
          <w:tcPr>
            <w:tcW w:w="2076" w:type="dxa"/>
          </w:tcPr>
          <w:p w14:paraId="4BB2B03E" w14:textId="77777777" w:rsidR="00000CB4" w:rsidRPr="00F61BAD" w:rsidRDefault="00000CB4"/>
        </w:tc>
        <w:tc>
          <w:tcPr>
            <w:tcW w:w="4193" w:type="dxa"/>
            <w:gridSpan w:val="2"/>
          </w:tcPr>
          <w:p w14:paraId="2120127E" w14:textId="77777777" w:rsidR="00000CB4" w:rsidRPr="00F61BAD" w:rsidRDefault="00000CB4" w:rsidP="005178F6">
            <w:pPr>
              <w:spacing w:before="100" w:beforeAutospacing="1" w:after="100" w:afterAutospacing="1"/>
            </w:pPr>
            <w:r w:rsidRPr="00547725">
              <w:t>Stock movement</w:t>
            </w:r>
            <w:r>
              <w:t xml:space="preserve">: </w:t>
            </w:r>
            <w:r w:rsidRPr="00547725">
              <w:t>Routine surgery and some day care patient activity may be suspended. Blood already issued may no longer be immediately required for those cases. Consideration should be undertaken to de-reserve and re-centralise blood before reissuing to emergency areas to meet the potential surge in demand.</w:t>
            </w:r>
          </w:p>
        </w:tc>
        <w:tc>
          <w:tcPr>
            <w:tcW w:w="1532" w:type="dxa"/>
            <w:gridSpan w:val="2"/>
          </w:tcPr>
          <w:p w14:paraId="667228B0" w14:textId="77777777" w:rsidR="00000CB4" w:rsidRPr="00F61BAD" w:rsidRDefault="00000CB4" w:rsidP="0096268B"/>
        </w:tc>
        <w:tc>
          <w:tcPr>
            <w:tcW w:w="3367" w:type="dxa"/>
          </w:tcPr>
          <w:p w14:paraId="448FDBA0" w14:textId="77777777" w:rsidR="00000CB4" w:rsidRPr="00F61BAD" w:rsidRDefault="00000CB4" w:rsidP="0096268B"/>
        </w:tc>
        <w:tc>
          <w:tcPr>
            <w:tcW w:w="2780" w:type="dxa"/>
          </w:tcPr>
          <w:p w14:paraId="5DE97459" w14:textId="77777777" w:rsidR="00000CB4" w:rsidRPr="00F61BAD" w:rsidRDefault="00000CB4"/>
        </w:tc>
      </w:tr>
      <w:tr w:rsidR="000D29A5" w14:paraId="24543AD4" w14:textId="77777777" w:rsidTr="00FB128B">
        <w:tc>
          <w:tcPr>
            <w:tcW w:w="2076" w:type="dxa"/>
          </w:tcPr>
          <w:p w14:paraId="793C9270" w14:textId="77777777" w:rsidR="000D29A5" w:rsidRPr="00F61BAD" w:rsidRDefault="000D29A5"/>
        </w:tc>
        <w:tc>
          <w:tcPr>
            <w:tcW w:w="4193" w:type="dxa"/>
            <w:gridSpan w:val="2"/>
          </w:tcPr>
          <w:p w14:paraId="23CAD178" w14:textId="77777777" w:rsidR="000D29A5" w:rsidRPr="00F61BAD" w:rsidRDefault="00547725" w:rsidP="005178F6">
            <w:pPr>
              <w:spacing w:before="100" w:beforeAutospacing="1" w:after="100" w:afterAutospacing="1"/>
            </w:pPr>
            <w:r w:rsidRPr="00547725">
              <w:t>Plasma. It is assumed that hospitals will hold enough frozen blood components to meet their planned admissions for the first hour</w:t>
            </w:r>
          </w:p>
        </w:tc>
        <w:tc>
          <w:tcPr>
            <w:tcW w:w="1532" w:type="dxa"/>
            <w:gridSpan w:val="2"/>
          </w:tcPr>
          <w:p w14:paraId="36D2A8F5" w14:textId="77777777" w:rsidR="000D29A5" w:rsidRPr="00F61BAD" w:rsidRDefault="000D29A5" w:rsidP="006B2E21"/>
        </w:tc>
        <w:tc>
          <w:tcPr>
            <w:tcW w:w="3367" w:type="dxa"/>
          </w:tcPr>
          <w:p w14:paraId="4AA899F7" w14:textId="77777777" w:rsidR="000D29A5" w:rsidRPr="00F61BAD" w:rsidRDefault="000D29A5" w:rsidP="006B2E21"/>
        </w:tc>
        <w:tc>
          <w:tcPr>
            <w:tcW w:w="2780" w:type="dxa"/>
          </w:tcPr>
          <w:p w14:paraId="41278633" w14:textId="77777777" w:rsidR="000D29A5" w:rsidRPr="00F61BAD" w:rsidRDefault="000D29A5"/>
        </w:tc>
      </w:tr>
    </w:tbl>
    <w:p w14:paraId="5DA4CBC0" w14:textId="77777777" w:rsidR="0043206B" w:rsidRDefault="0043206B">
      <w:r>
        <w:br w:type="page"/>
      </w:r>
    </w:p>
    <w:tbl>
      <w:tblPr>
        <w:tblStyle w:val="TableGrid"/>
        <w:tblW w:w="0" w:type="auto"/>
        <w:tblLook w:val="04A0" w:firstRow="1" w:lastRow="0" w:firstColumn="1" w:lastColumn="0" w:noHBand="0" w:noVBand="1"/>
      </w:tblPr>
      <w:tblGrid>
        <w:gridCol w:w="2079"/>
        <w:gridCol w:w="4196"/>
        <w:gridCol w:w="1531"/>
        <w:gridCol w:w="3364"/>
        <w:gridCol w:w="2778"/>
      </w:tblGrid>
      <w:tr w:rsidR="005178F6" w14:paraId="5B929B3C" w14:textId="77777777" w:rsidTr="00EE7C8A">
        <w:tc>
          <w:tcPr>
            <w:tcW w:w="2093" w:type="dxa"/>
          </w:tcPr>
          <w:p w14:paraId="4E61AADC" w14:textId="69FB02BC" w:rsidR="005178F6" w:rsidRPr="00F61BAD" w:rsidRDefault="005178F6"/>
        </w:tc>
        <w:tc>
          <w:tcPr>
            <w:tcW w:w="4252" w:type="dxa"/>
          </w:tcPr>
          <w:p w14:paraId="13E49D94" w14:textId="77777777" w:rsidR="005178F6" w:rsidRPr="00F61BAD" w:rsidRDefault="00547725" w:rsidP="005178F6">
            <w:pPr>
              <w:spacing w:before="100" w:beforeAutospacing="1" w:after="100" w:afterAutospacing="1"/>
            </w:pPr>
            <w:r w:rsidRPr="00547725">
              <w:t>Platelets. Early consideration should be given to the demand and storage for platelets</w:t>
            </w:r>
          </w:p>
        </w:tc>
        <w:tc>
          <w:tcPr>
            <w:tcW w:w="1560" w:type="dxa"/>
          </w:tcPr>
          <w:p w14:paraId="447E0092" w14:textId="77777777" w:rsidR="005178F6" w:rsidRPr="00F61BAD" w:rsidRDefault="005178F6"/>
        </w:tc>
        <w:tc>
          <w:tcPr>
            <w:tcW w:w="3434" w:type="dxa"/>
          </w:tcPr>
          <w:p w14:paraId="30E8B7A8" w14:textId="77777777" w:rsidR="005178F6" w:rsidRPr="00F61BAD" w:rsidRDefault="005178F6"/>
        </w:tc>
        <w:tc>
          <w:tcPr>
            <w:tcW w:w="2835" w:type="dxa"/>
          </w:tcPr>
          <w:p w14:paraId="6ADA80F8" w14:textId="77777777" w:rsidR="005178F6" w:rsidRPr="00F61BAD" w:rsidRDefault="005178F6"/>
        </w:tc>
      </w:tr>
      <w:tr w:rsidR="000D29A5" w14:paraId="2CC77A54" w14:textId="77777777" w:rsidTr="00EE7C8A">
        <w:tc>
          <w:tcPr>
            <w:tcW w:w="2093" w:type="dxa"/>
          </w:tcPr>
          <w:p w14:paraId="225A316D" w14:textId="77777777" w:rsidR="000D29A5" w:rsidRPr="00F61BAD" w:rsidRDefault="000D29A5">
            <w:pPr>
              <w:rPr>
                <w:b/>
              </w:rPr>
            </w:pPr>
          </w:p>
        </w:tc>
        <w:tc>
          <w:tcPr>
            <w:tcW w:w="4252" w:type="dxa"/>
          </w:tcPr>
          <w:p w14:paraId="7926FA43" w14:textId="77777777" w:rsidR="000D29A5" w:rsidRPr="00F61BAD" w:rsidRDefault="00547725" w:rsidP="005178F6">
            <w:pPr>
              <w:spacing w:before="100" w:beforeAutospacing="1" w:after="100" w:afterAutospacing="1"/>
            </w:pPr>
            <w:r w:rsidRPr="00547725">
              <w:t>Pre-hospital transfusion.  In the context of Major Incidents, Transfusion Laboratories should anticipate the requirement for pre-hospital transfusion and the implications for blood stock management.</w:t>
            </w:r>
          </w:p>
        </w:tc>
        <w:tc>
          <w:tcPr>
            <w:tcW w:w="1560" w:type="dxa"/>
          </w:tcPr>
          <w:p w14:paraId="675BCA1C" w14:textId="77777777" w:rsidR="000D29A5" w:rsidRPr="00F61BAD" w:rsidRDefault="000D29A5" w:rsidP="006B2E21"/>
        </w:tc>
        <w:tc>
          <w:tcPr>
            <w:tcW w:w="3434" w:type="dxa"/>
          </w:tcPr>
          <w:p w14:paraId="4765720F" w14:textId="77777777" w:rsidR="000D29A5" w:rsidRPr="00F61BAD" w:rsidRDefault="000D29A5" w:rsidP="006B2E21"/>
        </w:tc>
        <w:tc>
          <w:tcPr>
            <w:tcW w:w="2835" w:type="dxa"/>
          </w:tcPr>
          <w:p w14:paraId="19D573C8" w14:textId="77777777" w:rsidR="000D29A5" w:rsidRPr="00F61BAD" w:rsidRDefault="000D29A5"/>
        </w:tc>
      </w:tr>
      <w:tr w:rsidR="005178F6" w14:paraId="2C974599" w14:textId="77777777" w:rsidTr="00EE7C8A">
        <w:tc>
          <w:tcPr>
            <w:tcW w:w="2093" w:type="dxa"/>
          </w:tcPr>
          <w:p w14:paraId="7BACA49B" w14:textId="77777777" w:rsidR="005178F6" w:rsidRPr="00F61BAD" w:rsidRDefault="005178F6"/>
        </w:tc>
        <w:tc>
          <w:tcPr>
            <w:tcW w:w="4252" w:type="dxa"/>
          </w:tcPr>
          <w:p w14:paraId="2933C213" w14:textId="77777777" w:rsidR="005178F6" w:rsidRPr="00F61BAD" w:rsidRDefault="00547725" w:rsidP="00547725">
            <w:pPr>
              <w:spacing w:before="100" w:beforeAutospacing="1" w:after="100" w:afterAutospacing="1"/>
            </w:pPr>
            <w:r w:rsidRPr="00547725">
              <w:t>Documentation.    All key decisions should be documented, and all documentation should be clear, accurate and timely. All documentation (electronic and paperwork) must be preserved.</w:t>
            </w:r>
          </w:p>
        </w:tc>
        <w:tc>
          <w:tcPr>
            <w:tcW w:w="1560" w:type="dxa"/>
          </w:tcPr>
          <w:p w14:paraId="41A91ECE" w14:textId="77777777" w:rsidR="005178F6" w:rsidRPr="00F61BAD" w:rsidRDefault="005178F6"/>
        </w:tc>
        <w:tc>
          <w:tcPr>
            <w:tcW w:w="3434" w:type="dxa"/>
          </w:tcPr>
          <w:p w14:paraId="100F9EC1" w14:textId="77777777" w:rsidR="000D29A5" w:rsidRPr="00F61BAD" w:rsidRDefault="000D29A5"/>
        </w:tc>
        <w:tc>
          <w:tcPr>
            <w:tcW w:w="2835" w:type="dxa"/>
          </w:tcPr>
          <w:p w14:paraId="424A0464" w14:textId="77777777" w:rsidR="000D29A5" w:rsidRPr="00F61BAD" w:rsidRDefault="000D29A5"/>
        </w:tc>
      </w:tr>
      <w:tr w:rsidR="000D29A5" w14:paraId="5987D6EA" w14:textId="77777777" w:rsidTr="00EE7C8A">
        <w:tc>
          <w:tcPr>
            <w:tcW w:w="2093" w:type="dxa"/>
          </w:tcPr>
          <w:p w14:paraId="4255CD2F" w14:textId="77777777" w:rsidR="000D29A5" w:rsidRPr="00F61BAD" w:rsidRDefault="00547725">
            <w:r>
              <w:t>Hospital Response</w:t>
            </w:r>
          </w:p>
        </w:tc>
        <w:tc>
          <w:tcPr>
            <w:tcW w:w="4252" w:type="dxa"/>
          </w:tcPr>
          <w:p w14:paraId="70AD4C4D" w14:textId="77777777" w:rsidR="000D29A5" w:rsidRPr="00F61BAD" w:rsidRDefault="002D62A7" w:rsidP="00320461">
            <w:r w:rsidRPr="002D62A7">
              <w:t>Guidelines for identifying ‘unknown’ patients in emergency and mass casualty situations recommend non-sequential unique patient identifiers and g</w:t>
            </w:r>
            <w:r w:rsidR="00B54861">
              <w:t>ender as a minimum requirement.</w:t>
            </w:r>
          </w:p>
        </w:tc>
        <w:tc>
          <w:tcPr>
            <w:tcW w:w="1560" w:type="dxa"/>
          </w:tcPr>
          <w:p w14:paraId="43552A12" w14:textId="77777777" w:rsidR="000D29A5" w:rsidRPr="00F61BAD" w:rsidRDefault="000D29A5" w:rsidP="006B2E21"/>
        </w:tc>
        <w:tc>
          <w:tcPr>
            <w:tcW w:w="3434" w:type="dxa"/>
          </w:tcPr>
          <w:p w14:paraId="353BD75F" w14:textId="77777777" w:rsidR="000D29A5" w:rsidRPr="00F61BAD" w:rsidRDefault="000D29A5" w:rsidP="006B2E21"/>
        </w:tc>
        <w:tc>
          <w:tcPr>
            <w:tcW w:w="2835" w:type="dxa"/>
          </w:tcPr>
          <w:p w14:paraId="53C22164" w14:textId="77777777" w:rsidR="000D29A5" w:rsidRPr="00F61BAD" w:rsidRDefault="000D29A5"/>
        </w:tc>
      </w:tr>
      <w:tr w:rsidR="005178F6" w14:paraId="490E1F2B" w14:textId="77777777" w:rsidTr="00EE7C8A">
        <w:tc>
          <w:tcPr>
            <w:tcW w:w="2093" w:type="dxa"/>
          </w:tcPr>
          <w:p w14:paraId="4B4CA3D4" w14:textId="77777777" w:rsidR="005178F6" w:rsidRPr="00F61BAD" w:rsidRDefault="00B54861">
            <w:r>
              <w:t>Patient Identification and blood samples</w:t>
            </w:r>
          </w:p>
        </w:tc>
        <w:tc>
          <w:tcPr>
            <w:tcW w:w="4252" w:type="dxa"/>
          </w:tcPr>
          <w:p w14:paraId="5635C72B" w14:textId="77777777" w:rsidR="005178F6" w:rsidRPr="00F61BAD" w:rsidRDefault="00B54861" w:rsidP="00320461">
            <w:r>
              <w:t>T</w:t>
            </w:r>
            <w:r w:rsidRPr="00B54861">
              <w:t>he use of unique patient identifiers and careful patient identification before blood sampling and administration of blood is essential to reduce the risks of incorrect blood transfusion</w:t>
            </w:r>
          </w:p>
        </w:tc>
        <w:tc>
          <w:tcPr>
            <w:tcW w:w="1560" w:type="dxa"/>
          </w:tcPr>
          <w:p w14:paraId="68269D94" w14:textId="77777777" w:rsidR="005178F6" w:rsidRPr="00F61BAD" w:rsidRDefault="005178F6"/>
        </w:tc>
        <w:tc>
          <w:tcPr>
            <w:tcW w:w="3434" w:type="dxa"/>
          </w:tcPr>
          <w:p w14:paraId="2C781241" w14:textId="77777777" w:rsidR="00B7348B" w:rsidRPr="00F61BAD" w:rsidRDefault="00B7348B"/>
        </w:tc>
        <w:tc>
          <w:tcPr>
            <w:tcW w:w="2835" w:type="dxa"/>
          </w:tcPr>
          <w:p w14:paraId="15611923" w14:textId="77777777" w:rsidR="005178F6" w:rsidRPr="00F61BAD" w:rsidRDefault="005178F6"/>
        </w:tc>
      </w:tr>
      <w:tr w:rsidR="005178F6" w14:paraId="566EBD75" w14:textId="77777777" w:rsidTr="00EE7C8A">
        <w:tc>
          <w:tcPr>
            <w:tcW w:w="2093" w:type="dxa"/>
          </w:tcPr>
          <w:p w14:paraId="3DCE8B17" w14:textId="77777777" w:rsidR="005178F6" w:rsidRPr="00F61BAD" w:rsidRDefault="005178F6">
            <w:pPr>
              <w:rPr>
                <w:b/>
              </w:rPr>
            </w:pPr>
          </w:p>
        </w:tc>
        <w:tc>
          <w:tcPr>
            <w:tcW w:w="4252" w:type="dxa"/>
          </w:tcPr>
          <w:p w14:paraId="37BABC5C" w14:textId="77777777" w:rsidR="005178F6" w:rsidRPr="00F61BAD" w:rsidRDefault="00B54861">
            <w:r w:rsidRPr="00B54861">
              <w:t>Baseline blood samples for pre-transfusion testing should be obtained before administration of any blood component</w:t>
            </w:r>
          </w:p>
        </w:tc>
        <w:tc>
          <w:tcPr>
            <w:tcW w:w="1560" w:type="dxa"/>
          </w:tcPr>
          <w:p w14:paraId="11D8E872" w14:textId="77777777" w:rsidR="005178F6" w:rsidRPr="00F61BAD" w:rsidRDefault="005178F6"/>
        </w:tc>
        <w:tc>
          <w:tcPr>
            <w:tcW w:w="3434" w:type="dxa"/>
          </w:tcPr>
          <w:p w14:paraId="495A1AC8" w14:textId="77777777" w:rsidR="005178F6" w:rsidRPr="00F61BAD" w:rsidRDefault="005178F6"/>
        </w:tc>
        <w:tc>
          <w:tcPr>
            <w:tcW w:w="2835" w:type="dxa"/>
          </w:tcPr>
          <w:p w14:paraId="20C23B6E" w14:textId="77777777" w:rsidR="005178F6" w:rsidRPr="00F61BAD" w:rsidRDefault="005178F6"/>
        </w:tc>
      </w:tr>
      <w:tr w:rsidR="005178F6" w14:paraId="1C669169" w14:textId="77777777" w:rsidTr="00EE7C8A">
        <w:tc>
          <w:tcPr>
            <w:tcW w:w="2093" w:type="dxa"/>
          </w:tcPr>
          <w:p w14:paraId="71670AD1" w14:textId="77777777" w:rsidR="005178F6" w:rsidRPr="00F61BAD" w:rsidRDefault="005178F6"/>
        </w:tc>
        <w:tc>
          <w:tcPr>
            <w:tcW w:w="4252" w:type="dxa"/>
          </w:tcPr>
          <w:p w14:paraId="1916E18C" w14:textId="77777777" w:rsidR="005178F6" w:rsidRPr="00F61BAD" w:rsidRDefault="00B54861" w:rsidP="005178F6">
            <w:pPr>
              <w:spacing w:before="100" w:beforeAutospacing="1" w:after="100" w:afterAutospacing="1"/>
            </w:pPr>
            <w:r w:rsidRPr="00B54861">
              <w:t>The use of group-specific blood is normally recommended once the patient’s blood group has been confirmed</w:t>
            </w:r>
          </w:p>
        </w:tc>
        <w:tc>
          <w:tcPr>
            <w:tcW w:w="1560" w:type="dxa"/>
          </w:tcPr>
          <w:p w14:paraId="1DD787CF" w14:textId="77777777" w:rsidR="005178F6" w:rsidRPr="00F61BAD" w:rsidRDefault="005178F6"/>
        </w:tc>
        <w:tc>
          <w:tcPr>
            <w:tcW w:w="3434" w:type="dxa"/>
          </w:tcPr>
          <w:p w14:paraId="7081E2C4" w14:textId="77777777" w:rsidR="00B7348B" w:rsidRPr="00F61BAD" w:rsidRDefault="00B7348B"/>
        </w:tc>
        <w:tc>
          <w:tcPr>
            <w:tcW w:w="2835" w:type="dxa"/>
          </w:tcPr>
          <w:p w14:paraId="41E57FD9" w14:textId="77777777" w:rsidR="005178F6" w:rsidRPr="00F61BAD" w:rsidRDefault="005178F6"/>
        </w:tc>
      </w:tr>
      <w:tr w:rsidR="005178F6" w14:paraId="2093127B" w14:textId="77777777" w:rsidTr="00EE7C8A">
        <w:tc>
          <w:tcPr>
            <w:tcW w:w="2093" w:type="dxa"/>
          </w:tcPr>
          <w:p w14:paraId="25E51A00" w14:textId="77777777" w:rsidR="005178F6" w:rsidRPr="00F61BAD" w:rsidRDefault="005178F6"/>
        </w:tc>
        <w:tc>
          <w:tcPr>
            <w:tcW w:w="4252" w:type="dxa"/>
          </w:tcPr>
          <w:p w14:paraId="612335F5" w14:textId="77777777" w:rsidR="005178F6" w:rsidRPr="00F61BAD" w:rsidRDefault="00B54861" w:rsidP="005178F6">
            <w:pPr>
              <w:spacing w:before="100" w:beforeAutospacing="1" w:after="100" w:afterAutospacing="1"/>
            </w:pPr>
            <w:r w:rsidRPr="00B54861">
              <w:t>The gender of the patient should be included on both the blood sample bottles and request forms to optimise blood group selection</w:t>
            </w:r>
          </w:p>
        </w:tc>
        <w:tc>
          <w:tcPr>
            <w:tcW w:w="1560" w:type="dxa"/>
          </w:tcPr>
          <w:p w14:paraId="1ED9EE8B" w14:textId="77777777" w:rsidR="005178F6" w:rsidRPr="00F61BAD" w:rsidRDefault="005178F6"/>
        </w:tc>
        <w:tc>
          <w:tcPr>
            <w:tcW w:w="3434" w:type="dxa"/>
          </w:tcPr>
          <w:p w14:paraId="29A10B9C" w14:textId="77777777" w:rsidR="005943C6" w:rsidRPr="00F61BAD" w:rsidRDefault="005943C6"/>
        </w:tc>
        <w:tc>
          <w:tcPr>
            <w:tcW w:w="2835" w:type="dxa"/>
          </w:tcPr>
          <w:p w14:paraId="22473398" w14:textId="77777777" w:rsidR="005178F6" w:rsidRPr="00F61BAD" w:rsidRDefault="005178F6"/>
        </w:tc>
      </w:tr>
      <w:tr w:rsidR="005178F6" w14:paraId="3733D519" w14:textId="77777777" w:rsidTr="00EE7C8A">
        <w:tc>
          <w:tcPr>
            <w:tcW w:w="2093" w:type="dxa"/>
          </w:tcPr>
          <w:p w14:paraId="4538BE5E" w14:textId="77777777" w:rsidR="005178F6" w:rsidRPr="00F61BAD" w:rsidRDefault="005178F6"/>
        </w:tc>
        <w:tc>
          <w:tcPr>
            <w:tcW w:w="4252" w:type="dxa"/>
          </w:tcPr>
          <w:p w14:paraId="2CEBF324" w14:textId="77777777" w:rsidR="005178F6" w:rsidRPr="00F61BAD" w:rsidRDefault="00B54861" w:rsidP="005178F6">
            <w:pPr>
              <w:spacing w:before="100" w:beforeAutospacing="1" w:after="100" w:afterAutospacing="1"/>
            </w:pPr>
            <w:r w:rsidRPr="00B54861">
              <w:t>Request forms should include treatment priority, age or estimated age and special requirements if known. Distinguishing children from adults enables age-related criteria to be applied to component selection</w:t>
            </w:r>
          </w:p>
        </w:tc>
        <w:tc>
          <w:tcPr>
            <w:tcW w:w="1560" w:type="dxa"/>
          </w:tcPr>
          <w:p w14:paraId="72DB817E" w14:textId="77777777" w:rsidR="005178F6" w:rsidRPr="00F61BAD" w:rsidRDefault="005178F6"/>
        </w:tc>
        <w:tc>
          <w:tcPr>
            <w:tcW w:w="3434" w:type="dxa"/>
          </w:tcPr>
          <w:p w14:paraId="6A03C1AC" w14:textId="77777777" w:rsidR="005178F6" w:rsidRPr="00F61BAD" w:rsidRDefault="005178F6" w:rsidP="005943C6"/>
        </w:tc>
        <w:tc>
          <w:tcPr>
            <w:tcW w:w="2835" w:type="dxa"/>
          </w:tcPr>
          <w:p w14:paraId="2D29C9EA" w14:textId="77777777" w:rsidR="005178F6" w:rsidRPr="00F61BAD" w:rsidRDefault="005178F6"/>
        </w:tc>
      </w:tr>
      <w:tr w:rsidR="005178F6" w14:paraId="14D93730" w14:textId="77777777" w:rsidTr="00EE7C8A">
        <w:tc>
          <w:tcPr>
            <w:tcW w:w="2093" w:type="dxa"/>
          </w:tcPr>
          <w:p w14:paraId="5A82F7AC" w14:textId="77777777" w:rsidR="005178F6" w:rsidRPr="00F61BAD" w:rsidRDefault="005178F6"/>
        </w:tc>
        <w:tc>
          <w:tcPr>
            <w:tcW w:w="4252" w:type="dxa"/>
          </w:tcPr>
          <w:p w14:paraId="6D646849" w14:textId="77777777" w:rsidR="005178F6" w:rsidRPr="00F61BAD" w:rsidRDefault="00B54861" w:rsidP="005178F6">
            <w:pPr>
              <w:spacing w:before="100" w:beforeAutospacing="1" w:after="100" w:afterAutospacing="1"/>
            </w:pPr>
            <w:r w:rsidRPr="00B54861">
              <w:t>There should be clear guidelines regarding the change from the Major Incident identifier to the routine hospital identifier, particularly in relation to transfusion samples.</w:t>
            </w:r>
          </w:p>
        </w:tc>
        <w:tc>
          <w:tcPr>
            <w:tcW w:w="1560" w:type="dxa"/>
          </w:tcPr>
          <w:p w14:paraId="40019A73" w14:textId="77777777" w:rsidR="005178F6" w:rsidRPr="00F61BAD" w:rsidRDefault="005178F6"/>
        </w:tc>
        <w:tc>
          <w:tcPr>
            <w:tcW w:w="3434" w:type="dxa"/>
          </w:tcPr>
          <w:p w14:paraId="188F1734" w14:textId="77777777" w:rsidR="005178F6" w:rsidRPr="00F61BAD" w:rsidRDefault="005178F6" w:rsidP="005943C6"/>
        </w:tc>
        <w:tc>
          <w:tcPr>
            <w:tcW w:w="2835" w:type="dxa"/>
          </w:tcPr>
          <w:p w14:paraId="4479EF2C" w14:textId="77777777" w:rsidR="005178F6" w:rsidRPr="00F61BAD" w:rsidRDefault="005178F6"/>
        </w:tc>
      </w:tr>
      <w:tr w:rsidR="005178F6" w14:paraId="2520E4F2" w14:textId="77777777" w:rsidTr="00EE7C8A">
        <w:tc>
          <w:tcPr>
            <w:tcW w:w="2093" w:type="dxa"/>
          </w:tcPr>
          <w:p w14:paraId="6C26FBDC" w14:textId="77777777" w:rsidR="005178F6" w:rsidRPr="00F61BAD" w:rsidRDefault="00B54861">
            <w:r>
              <w:t>Guidance for clinical blood use</w:t>
            </w:r>
          </w:p>
        </w:tc>
        <w:tc>
          <w:tcPr>
            <w:tcW w:w="4252" w:type="dxa"/>
          </w:tcPr>
          <w:p w14:paraId="2E991571" w14:textId="77777777" w:rsidR="005178F6" w:rsidRPr="00F61BAD" w:rsidRDefault="00B54861" w:rsidP="005178F6">
            <w:pPr>
              <w:spacing w:before="100" w:beforeAutospacing="1" w:after="100" w:afterAutospacing="1"/>
            </w:pPr>
            <w:r w:rsidRPr="00B54861">
              <w:t>Trusts should ensure that they have a policy for the management of massive haemorrhage and massive transfusion and this should be incorporated into the Major Incident pla</w:t>
            </w:r>
            <w:r>
              <w:t>n</w:t>
            </w:r>
          </w:p>
        </w:tc>
        <w:tc>
          <w:tcPr>
            <w:tcW w:w="1560" w:type="dxa"/>
          </w:tcPr>
          <w:p w14:paraId="41D866E5" w14:textId="77777777" w:rsidR="005178F6" w:rsidRPr="00F61BAD" w:rsidRDefault="005178F6"/>
        </w:tc>
        <w:tc>
          <w:tcPr>
            <w:tcW w:w="3434" w:type="dxa"/>
          </w:tcPr>
          <w:p w14:paraId="25F026AD" w14:textId="77777777" w:rsidR="005178F6" w:rsidRPr="00F61BAD" w:rsidRDefault="005178F6"/>
        </w:tc>
        <w:tc>
          <w:tcPr>
            <w:tcW w:w="2835" w:type="dxa"/>
          </w:tcPr>
          <w:p w14:paraId="09087944" w14:textId="77777777" w:rsidR="005178F6" w:rsidRPr="00F61BAD" w:rsidRDefault="005178F6"/>
        </w:tc>
      </w:tr>
      <w:tr w:rsidR="00B54861" w14:paraId="7BB61664" w14:textId="77777777" w:rsidTr="00EE7C8A">
        <w:tc>
          <w:tcPr>
            <w:tcW w:w="2093" w:type="dxa"/>
          </w:tcPr>
          <w:p w14:paraId="79FBD713" w14:textId="77777777" w:rsidR="00B54861" w:rsidRPr="00B34CDD" w:rsidRDefault="00B54861">
            <w:pPr>
              <w:rPr>
                <w:highlight w:val="yellow"/>
              </w:rPr>
            </w:pPr>
          </w:p>
        </w:tc>
        <w:tc>
          <w:tcPr>
            <w:tcW w:w="4252" w:type="dxa"/>
          </w:tcPr>
          <w:p w14:paraId="4D76F8D3" w14:textId="77777777" w:rsidR="00B54861" w:rsidRPr="00B34CDD" w:rsidRDefault="00B54861" w:rsidP="005178F6">
            <w:pPr>
              <w:spacing w:before="100" w:beforeAutospacing="1" w:after="100" w:afterAutospacing="1"/>
              <w:rPr>
                <w:highlight w:val="yellow"/>
              </w:rPr>
            </w:pPr>
            <w:r w:rsidRPr="00961121">
              <w:t>Trusts should consider having an Intra-Operative Cell Salvage (IOCS) service for use in major haemorrhage; including traumatic haemorrhage to reduce reliance on allogeneic blood.</w:t>
            </w:r>
          </w:p>
        </w:tc>
        <w:tc>
          <w:tcPr>
            <w:tcW w:w="1560" w:type="dxa"/>
          </w:tcPr>
          <w:p w14:paraId="6834997B" w14:textId="77777777" w:rsidR="00B54861" w:rsidRPr="00B34CDD" w:rsidRDefault="00B54861">
            <w:pPr>
              <w:rPr>
                <w:highlight w:val="yellow"/>
              </w:rPr>
            </w:pPr>
          </w:p>
        </w:tc>
        <w:tc>
          <w:tcPr>
            <w:tcW w:w="3434" w:type="dxa"/>
          </w:tcPr>
          <w:p w14:paraId="44F0F3ED" w14:textId="77777777" w:rsidR="009A4895" w:rsidRPr="00B34CDD" w:rsidRDefault="009A4895">
            <w:pPr>
              <w:rPr>
                <w:highlight w:val="yellow"/>
              </w:rPr>
            </w:pPr>
          </w:p>
        </w:tc>
        <w:tc>
          <w:tcPr>
            <w:tcW w:w="2835" w:type="dxa"/>
          </w:tcPr>
          <w:p w14:paraId="6ACAA8AE" w14:textId="77777777" w:rsidR="00961121" w:rsidRPr="00B34CDD" w:rsidRDefault="00961121">
            <w:pPr>
              <w:rPr>
                <w:highlight w:val="yellow"/>
              </w:rPr>
            </w:pPr>
          </w:p>
        </w:tc>
      </w:tr>
      <w:tr w:rsidR="00B54861" w14:paraId="3D26629E" w14:textId="77777777" w:rsidTr="00EE7C8A">
        <w:tc>
          <w:tcPr>
            <w:tcW w:w="2093" w:type="dxa"/>
          </w:tcPr>
          <w:p w14:paraId="1385EBD9" w14:textId="77777777" w:rsidR="00B54861" w:rsidRPr="00F61BAD" w:rsidRDefault="00B54861"/>
        </w:tc>
        <w:tc>
          <w:tcPr>
            <w:tcW w:w="4252" w:type="dxa"/>
          </w:tcPr>
          <w:p w14:paraId="13B59E81" w14:textId="77777777" w:rsidR="00B54861" w:rsidRPr="00F61BAD" w:rsidRDefault="00B54861" w:rsidP="005178F6">
            <w:pPr>
              <w:spacing w:before="100" w:beforeAutospacing="1" w:after="100" w:afterAutospacing="1"/>
            </w:pPr>
            <w:r w:rsidRPr="009D4ED3">
              <w:t>Trusts should have contingency plans for major blood shortages incorporated into Major Incident plans</w:t>
            </w:r>
          </w:p>
        </w:tc>
        <w:tc>
          <w:tcPr>
            <w:tcW w:w="1560" w:type="dxa"/>
          </w:tcPr>
          <w:p w14:paraId="398E76F5" w14:textId="77777777" w:rsidR="00B54861" w:rsidRPr="00F61BAD" w:rsidRDefault="00B54861"/>
        </w:tc>
        <w:tc>
          <w:tcPr>
            <w:tcW w:w="3434" w:type="dxa"/>
          </w:tcPr>
          <w:p w14:paraId="29766268" w14:textId="77777777" w:rsidR="00B54861" w:rsidRPr="00F61BAD" w:rsidRDefault="00B54861"/>
        </w:tc>
        <w:tc>
          <w:tcPr>
            <w:tcW w:w="2835" w:type="dxa"/>
          </w:tcPr>
          <w:p w14:paraId="3DA9FB9C" w14:textId="77777777" w:rsidR="009A4895" w:rsidRPr="00F61BAD" w:rsidRDefault="009A4895"/>
        </w:tc>
      </w:tr>
      <w:tr w:rsidR="00B54861" w14:paraId="53EA97B3" w14:textId="77777777" w:rsidTr="00EE7C8A">
        <w:tc>
          <w:tcPr>
            <w:tcW w:w="2093" w:type="dxa"/>
          </w:tcPr>
          <w:p w14:paraId="04A2242A" w14:textId="77777777" w:rsidR="00B54861" w:rsidRPr="00F61BAD" w:rsidRDefault="00B54861">
            <w:r>
              <w:t>Selection and issue of blood components</w:t>
            </w:r>
          </w:p>
        </w:tc>
        <w:tc>
          <w:tcPr>
            <w:tcW w:w="4252" w:type="dxa"/>
          </w:tcPr>
          <w:p w14:paraId="5B520DC9" w14:textId="77777777" w:rsidR="00B54861" w:rsidRPr="00F61BAD" w:rsidRDefault="00B54861" w:rsidP="005178F6">
            <w:pPr>
              <w:spacing w:before="100" w:beforeAutospacing="1" w:after="100" w:afterAutospacing="1"/>
            </w:pPr>
            <w:r w:rsidRPr="00B54861">
              <w:t>All patients admitted to hospital should have a baseline sample taken for transfusion testing of blood group (ABO and D) and atypical antibody screen.  However, blood grouping should be initially prioritised to the most urgent cases (P1 and P2 cases</w:t>
            </w:r>
          </w:p>
        </w:tc>
        <w:tc>
          <w:tcPr>
            <w:tcW w:w="1560" w:type="dxa"/>
          </w:tcPr>
          <w:p w14:paraId="75E7D080" w14:textId="77777777" w:rsidR="00B54861" w:rsidRPr="00F61BAD" w:rsidRDefault="00B54861"/>
        </w:tc>
        <w:tc>
          <w:tcPr>
            <w:tcW w:w="3434" w:type="dxa"/>
          </w:tcPr>
          <w:p w14:paraId="5936C1B3" w14:textId="77777777" w:rsidR="00B54861" w:rsidRPr="00F61BAD" w:rsidRDefault="00B54861"/>
        </w:tc>
        <w:tc>
          <w:tcPr>
            <w:tcW w:w="2835" w:type="dxa"/>
          </w:tcPr>
          <w:p w14:paraId="24B1CBF7" w14:textId="77777777" w:rsidR="00B54861" w:rsidRPr="00F61BAD" w:rsidRDefault="00B54861"/>
        </w:tc>
      </w:tr>
      <w:tr w:rsidR="00B54861" w14:paraId="6C882876" w14:textId="77777777" w:rsidTr="00EE7C8A">
        <w:tc>
          <w:tcPr>
            <w:tcW w:w="2093" w:type="dxa"/>
          </w:tcPr>
          <w:p w14:paraId="69CA871D" w14:textId="77777777" w:rsidR="00B54861" w:rsidRPr="00F61BAD" w:rsidRDefault="00B54861"/>
        </w:tc>
        <w:tc>
          <w:tcPr>
            <w:tcW w:w="4252" w:type="dxa"/>
          </w:tcPr>
          <w:p w14:paraId="19AE629E" w14:textId="77777777" w:rsidR="00B54861" w:rsidRPr="00F61BAD" w:rsidRDefault="00B54861" w:rsidP="005178F6">
            <w:pPr>
              <w:spacing w:before="100" w:beforeAutospacing="1" w:after="100" w:afterAutospacing="1"/>
            </w:pPr>
            <w:r w:rsidRPr="00B54861">
              <w:t>Laboratory procedures should be in place to prioritise and handle emergency samples.</w:t>
            </w:r>
          </w:p>
        </w:tc>
        <w:tc>
          <w:tcPr>
            <w:tcW w:w="1560" w:type="dxa"/>
          </w:tcPr>
          <w:p w14:paraId="5209FD45" w14:textId="77777777" w:rsidR="00B54861" w:rsidRPr="00F61BAD" w:rsidRDefault="00B54861"/>
        </w:tc>
        <w:tc>
          <w:tcPr>
            <w:tcW w:w="3434" w:type="dxa"/>
          </w:tcPr>
          <w:p w14:paraId="644630E8" w14:textId="77777777" w:rsidR="00B54861" w:rsidRPr="00F61BAD" w:rsidRDefault="00B54861"/>
        </w:tc>
        <w:tc>
          <w:tcPr>
            <w:tcW w:w="2835" w:type="dxa"/>
          </w:tcPr>
          <w:p w14:paraId="73CF233F" w14:textId="77777777" w:rsidR="00B54861" w:rsidRPr="00F61BAD" w:rsidRDefault="00B54861"/>
        </w:tc>
      </w:tr>
      <w:tr w:rsidR="00B54861" w14:paraId="7BAD3AA1" w14:textId="77777777" w:rsidTr="00EE7C8A">
        <w:tc>
          <w:tcPr>
            <w:tcW w:w="2093" w:type="dxa"/>
          </w:tcPr>
          <w:p w14:paraId="3E852B62" w14:textId="77777777" w:rsidR="00B54861" w:rsidRPr="00F61BAD" w:rsidRDefault="00B54861"/>
        </w:tc>
        <w:tc>
          <w:tcPr>
            <w:tcW w:w="4252" w:type="dxa"/>
          </w:tcPr>
          <w:p w14:paraId="15DE1377" w14:textId="77777777" w:rsidR="00B54861" w:rsidRPr="00F61BAD" w:rsidRDefault="00B54861" w:rsidP="005178F6">
            <w:pPr>
              <w:spacing w:before="100" w:beforeAutospacing="1" w:after="100" w:afterAutospacing="1"/>
            </w:pPr>
            <w:r w:rsidRPr="00B54861">
              <w:t>Appropriate blood group substitutions should be considered to optimise stock management of all blood components</w:t>
            </w:r>
          </w:p>
        </w:tc>
        <w:tc>
          <w:tcPr>
            <w:tcW w:w="1560" w:type="dxa"/>
          </w:tcPr>
          <w:p w14:paraId="039D6CF0" w14:textId="77777777" w:rsidR="00B54861" w:rsidRPr="00F61BAD" w:rsidRDefault="00B54861"/>
        </w:tc>
        <w:tc>
          <w:tcPr>
            <w:tcW w:w="3434" w:type="dxa"/>
          </w:tcPr>
          <w:p w14:paraId="4968E936" w14:textId="77777777" w:rsidR="00B54861" w:rsidRPr="00F61BAD" w:rsidRDefault="00B54861"/>
        </w:tc>
        <w:tc>
          <w:tcPr>
            <w:tcW w:w="2835" w:type="dxa"/>
          </w:tcPr>
          <w:p w14:paraId="58C79508" w14:textId="77777777" w:rsidR="00B54861" w:rsidRPr="00F61BAD" w:rsidRDefault="00B54861"/>
        </w:tc>
      </w:tr>
      <w:tr w:rsidR="00B54861" w14:paraId="2C585913" w14:textId="77777777" w:rsidTr="00EE7C8A">
        <w:tc>
          <w:tcPr>
            <w:tcW w:w="2093" w:type="dxa"/>
          </w:tcPr>
          <w:p w14:paraId="3FAF33D1" w14:textId="77777777" w:rsidR="00B54861" w:rsidRPr="00F61BAD" w:rsidRDefault="00B54861"/>
        </w:tc>
        <w:tc>
          <w:tcPr>
            <w:tcW w:w="4252" w:type="dxa"/>
          </w:tcPr>
          <w:p w14:paraId="3F63A02F" w14:textId="77777777" w:rsidR="00B54861" w:rsidRPr="00F61BAD" w:rsidRDefault="00B54861" w:rsidP="005178F6">
            <w:pPr>
              <w:spacing w:before="100" w:beforeAutospacing="1" w:after="100" w:afterAutospacing="1"/>
            </w:pPr>
            <w:r w:rsidRPr="00B54861">
              <w:t>Group O positive red cells may need to be used in unknown males. D and K negative blood should be prioritised for unknown females under the age of 50</w:t>
            </w:r>
          </w:p>
        </w:tc>
        <w:tc>
          <w:tcPr>
            <w:tcW w:w="1560" w:type="dxa"/>
          </w:tcPr>
          <w:p w14:paraId="6C04FAF2" w14:textId="77777777" w:rsidR="00B54861" w:rsidRPr="00F61BAD" w:rsidRDefault="00B54861"/>
        </w:tc>
        <w:tc>
          <w:tcPr>
            <w:tcW w:w="3434" w:type="dxa"/>
          </w:tcPr>
          <w:p w14:paraId="161C07E2" w14:textId="77777777" w:rsidR="00B54861" w:rsidRPr="00F61BAD" w:rsidRDefault="00B54861"/>
        </w:tc>
        <w:tc>
          <w:tcPr>
            <w:tcW w:w="2835" w:type="dxa"/>
          </w:tcPr>
          <w:p w14:paraId="4C672737" w14:textId="77777777" w:rsidR="00B54861" w:rsidRPr="00F61BAD" w:rsidRDefault="00B54861"/>
        </w:tc>
      </w:tr>
      <w:tr w:rsidR="00B54861" w14:paraId="10E91CB5" w14:textId="77777777" w:rsidTr="00EE7C8A">
        <w:tc>
          <w:tcPr>
            <w:tcW w:w="2093" w:type="dxa"/>
          </w:tcPr>
          <w:p w14:paraId="545DFD8D" w14:textId="77777777" w:rsidR="00B54861" w:rsidRPr="00F61BAD" w:rsidRDefault="00B54861"/>
        </w:tc>
        <w:tc>
          <w:tcPr>
            <w:tcW w:w="4252" w:type="dxa"/>
          </w:tcPr>
          <w:p w14:paraId="34D4E749" w14:textId="77777777" w:rsidR="00B54861" w:rsidRPr="00F61BAD" w:rsidRDefault="00B54861" w:rsidP="005178F6">
            <w:pPr>
              <w:spacing w:before="100" w:beforeAutospacing="1" w:after="100" w:afterAutospacing="1"/>
            </w:pPr>
            <w:r w:rsidRPr="00B54861">
              <w:t>Arrangements must be in place for the traceability of blood sent to other hospitals and the Ambulance Service.</w:t>
            </w:r>
          </w:p>
        </w:tc>
        <w:tc>
          <w:tcPr>
            <w:tcW w:w="1560" w:type="dxa"/>
          </w:tcPr>
          <w:p w14:paraId="66B9A5EC" w14:textId="77777777" w:rsidR="00B54861" w:rsidRPr="00F61BAD" w:rsidRDefault="00B54861"/>
        </w:tc>
        <w:tc>
          <w:tcPr>
            <w:tcW w:w="3434" w:type="dxa"/>
          </w:tcPr>
          <w:p w14:paraId="7B1F36BB" w14:textId="77777777" w:rsidR="00B54861" w:rsidRPr="00F61BAD" w:rsidRDefault="00B54861"/>
        </w:tc>
        <w:tc>
          <w:tcPr>
            <w:tcW w:w="2835" w:type="dxa"/>
          </w:tcPr>
          <w:p w14:paraId="7783A8A1" w14:textId="77777777" w:rsidR="00B54861" w:rsidRPr="00F61BAD" w:rsidRDefault="00B54861"/>
        </w:tc>
      </w:tr>
      <w:tr w:rsidR="00B54861" w14:paraId="4F0AFBB9" w14:textId="77777777" w:rsidTr="00EE7C8A">
        <w:tc>
          <w:tcPr>
            <w:tcW w:w="2093" w:type="dxa"/>
          </w:tcPr>
          <w:p w14:paraId="59FEF4BD" w14:textId="77777777" w:rsidR="00B54861" w:rsidRPr="00F61BAD" w:rsidRDefault="00B54861"/>
        </w:tc>
        <w:tc>
          <w:tcPr>
            <w:tcW w:w="4252" w:type="dxa"/>
          </w:tcPr>
          <w:p w14:paraId="24FFDE37" w14:textId="77777777" w:rsidR="00B54861" w:rsidRPr="00F61BAD" w:rsidRDefault="00B54861" w:rsidP="005178F6">
            <w:pPr>
              <w:spacing w:before="100" w:beforeAutospacing="1" w:after="100" w:afterAutospacing="1"/>
            </w:pPr>
            <w:r w:rsidRPr="00B54861">
              <w:t>Hospital Transfusion Laboratories should be able to provide details of blood and blood component usage following a Major Incident to NHSBT within 72 hour</w:t>
            </w:r>
          </w:p>
        </w:tc>
        <w:tc>
          <w:tcPr>
            <w:tcW w:w="1560" w:type="dxa"/>
          </w:tcPr>
          <w:p w14:paraId="06FC9882" w14:textId="77777777" w:rsidR="00B54861" w:rsidRPr="00F61BAD" w:rsidRDefault="00B54861"/>
        </w:tc>
        <w:tc>
          <w:tcPr>
            <w:tcW w:w="3434" w:type="dxa"/>
          </w:tcPr>
          <w:p w14:paraId="2373735E" w14:textId="77777777" w:rsidR="00B54861" w:rsidRPr="00F61BAD" w:rsidRDefault="00B54861" w:rsidP="0097102D"/>
        </w:tc>
        <w:tc>
          <w:tcPr>
            <w:tcW w:w="2835" w:type="dxa"/>
          </w:tcPr>
          <w:p w14:paraId="1F1DA335" w14:textId="77777777" w:rsidR="00433434" w:rsidRPr="00F61BAD" w:rsidRDefault="00433434"/>
        </w:tc>
      </w:tr>
      <w:tr w:rsidR="00B54861" w14:paraId="1C745981" w14:textId="77777777" w:rsidTr="00EE7C8A">
        <w:tc>
          <w:tcPr>
            <w:tcW w:w="2093" w:type="dxa"/>
          </w:tcPr>
          <w:p w14:paraId="7367CF61" w14:textId="77777777" w:rsidR="00B54861" w:rsidRPr="00F61BAD" w:rsidRDefault="00B54861">
            <w:r>
              <w:t>Regulatory Requirements</w:t>
            </w:r>
          </w:p>
        </w:tc>
        <w:tc>
          <w:tcPr>
            <w:tcW w:w="4252" w:type="dxa"/>
          </w:tcPr>
          <w:p w14:paraId="708BC102" w14:textId="77777777" w:rsidR="00B54861" w:rsidRPr="00F61BAD" w:rsidRDefault="00B54861" w:rsidP="005178F6">
            <w:pPr>
              <w:spacing w:before="100" w:beforeAutospacing="1" w:after="100" w:afterAutospacing="1"/>
            </w:pPr>
            <w:r w:rsidRPr="00B54861">
              <w:t>Due consideration must be given to securely maintaining the cold chain of any blood components stored and transported during an incident</w:t>
            </w:r>
          </w:p>
        </w:tc>
        <w:tc>
          <w:tcPr>
            <w:tcW w:w="1560" w:type="dxa"/>
          </w:tcPr>
          <w:p w14:paraId="3C7864D6" w14:textId="77777777" w:rsidR="00B54861" w:rsidRPr="00F61BAD" w:rsidRDefault="00B54861"/>
        </w:tc>
        <w:tc>
          <w:tcPr>
            <w:tcW w:w="3434" w:type="dxa"/>
          </w:tcPr>
          <w:p w14:paraId="71C12A00" w14:textId="77777777" w:rsidR="00B54861" w:rsidRPr="00F61BAD" w:rsidRDefault="00B54861"/>
        </w:tc>
        <w:tc>
          <w:tcPr>
            <w:tcW w:w="2835" w:type="dxa"/>
          </w:tcPr>
          <w:p w14:paraId="1A752E0D" w14:textId="77777777" w:rsidR="00B54861" w:rsidRPr="00F61BAD" w:rsidRDefault="00B54861"/>
        </w:tc>
      </w:tr>
      <w:tr w:rsidR="00B54861" w14:paraId="39AD73AB" w14:textId="77777777" w:rsidTr="0097102D">
        <w:trPr>
          <w:trHeight w:val="1393"/>
        </w:trPr>
        <w:tc>
          <w:tcPr>
            <w:tcW w:w="2093" w:type="dxa"/>
          </w:tcPr>
          <w:p w14:paraId="369A66DB" w14:textId="77777777" w:rsidR="00B54861" w:rsidRPr="00F61BAD" w:rsidRDefault="00B54861"/>
        </w:tc>
        <w:tc>
          <w:tcPr>
            <w:tcW w:w="4252" w:type="dxa"/>
          </w:tcPr>
          <w:p w14:paraId="5C68B3DA" w14:textId="77777777" w:rsidR="00B54861" w:rsidRPr="00F61BAD" w:rsidRDefault="00B54861" w:rsidP="005178F6">
            <w:pPr>
              <w:spacing w:before="100" w:beforeAutospacing="1" w:after="100" w:afterAutospacing="1"/>
            </w:pPr>
            <w:r w:rsidRPr="00B54861">
              <w:t>Hospital Transfusion Laboratories should have protocols for the timely thawing and issue of plasma together with the option of post-thaw storage of FFP at 4oC for up to five days.</w:t>
            </w:r>
          </w:p>
        </w:tc>
        <w:tc>
          <w:tcPr>
            <w:tcW w:w="1560" w:type="dxa"/>
          </w:tcPr>
          <w:p w14:paraId="37C8994C" w14:textId="77777777" w:rsidR="00B54861" w:rsidRPr="00F61BAD" w:rsidRDefault="00B54861"/>
        </w:tc>
        <w:tc>
          <w:tcPr>
            <w:tcW w:w="3434" w:type="dxa"/>
          </w:tcPr>
          <w:p w14:paraId="25ADD00D" w14:textId="77777777" w:rsidR="00B54861" w:rsidRPr="00F61BAD" w:rsidRDefault="00B54861"/>
        </w:tc>
        <w:tc>
          <w:tcPr>
            <w:tcW w:w="2835" w:type="dxa"/>
          </w:tcPr>
          <w:p w14:paraId="18135B97" w14:textId="77777777" w:rsidR="00B54861" w:rsidRPr="00F61BAD" w:rsidRDefault="00B54861"/>
        </w:tc>
      </w:tr>
      <w:tr w:rsidR="00B54861" w14:paraId="554B6D38" w14:textId="77777777" w:rsidTr="00EE7C8A">
        <w:tc>
          <w:tcPr>
            <w:tcW w:w="2093" w:type="dxa"/>
          </w:tcPr>
          <w:p w14:paraId="4E3B295B" w14:textId="77777777" w:rsidR="00B54861" w:rsidRPr="00F61BAD" w:rsidRDefault="00B54861"/>
        </w:tc>
        <w:tc>
          <w:tcPr>
            <w:tcW w:w="4252" w:type="dxa"/>
          </w:tcPr>
          <w:p w14:paraId="4EAE77C7" w14:textId="77777777" w:rsidR="00B54861" w:rsidRPr="00F61BAD" w:rsidRDefault="00755A7D" w:rsidP="005178F6">
            <w:pPr>
              <w:spacing w:before="100" w:beforeAutospacing="1" w:after="100" w:afterAutospacing="1"/>
            </w:pPr>
            <w:r w:rsidRPr="00755A7D">
              <w:t>The use and disposal of any blood component must be documented in the clinical notes and in the Hospital Transfusion Laboratory records using the unique number of both the blood unit and the patient</w:t>
            </w:r>
          </w:p>
        </w:tc>
        <w:tc>
          <w:tcPr>
            <w:tcW w:w="1560" w:type="dxa"/>
          </w:tcPr>
          <w:p w14:paraId="1635E077" w14:textId="77777777" w:rsidR="00B54861" w:rsidRPr="00F61BAD" w:rsidRDefault="00B54861"/>
        </w:tc>
        <w:tc>
          <w:tcPr>
            <w:tcW w:w="3434" w:type="dxa"/>
          </w:tcPr>
          <w:p w14:paraId="2BF10089" w14:textId="77777777" w:rsidR="0097102D" w:rsidRPr="00F61BAD" w:rsidRDefault="0097102D"/>
        </w:tc>
        <w:tc>
          <w:tcPr>
            <w:tcW w:w="2835" w:type="dxa"/>
          </w:tcPr>
          <w:p w14:paraId="57AE504D" w14:textId="77777777" w:rsidR="00B54861" w:rsidRPr="00F61BAD" w:rsidRDefault="00B54861"/>
        </w:tc>
      </w:tr>
      <w:tr w:rsidR="00B54861" w14:paraId="6A3849F7" w14:textId="77777777" w:rsidTr="00EE7C8A">
        <w:tc>
          <w:tcPr>
            <w:tcW w:w="2093" w:type="dxa"/>
          </w:tcPr>
          <w:p w14:paraId="49A9CF9D" w14:textId="77777777" w:rsidR="00B54861" w:rsidRPr="00F61BAD" w:rsidRDefault="00B54861"/>
        </w:tc>
        <w:tc>
          <w:tcPr>
            <w:tcW w:w="4252" w:type="dxa"/>
          </w:tcPr>
          <w:p w14:paraId="128EA4D0" w14:textId="77777777" w:rsidR="00B54861" w:rsidRPr="00F61BAD" w:rsidRDefault="00755A7D" w:rsidP="005178F6">
            <w:pPr>
              <w:spacing w:before="100" w:beforeAutospacing="1" w:after="100" w:afterAutospacing="1"/>
            </w:pPr>
            <w:r w:rsidRPr="00755A7D">
              <w:t>Hospital Transfusion Laboratories should have procedures for maintaining the systems for traceability of blood and blood components, used and wasted</w:t>
            </w:r>
          </w:p>
        </w:tc>
        <w:tc>
          <w:tcPr>
            <w:tcW w:w="1560" w:type="dxa"/>
          </w:tcPr>
          <w:p w14:paraId="05556CD3" w14:textId="77777777" w:rsidR="00B54861" w:rsidRPr="00F61BAD" w:rsidRDefault="00B54861"/>
        </w:tc>
        <w:tc>
          <w:tcPr>
            <w:tcW w:w="3434" w:type="dxa"/>
          </w:tcPr>
          <w:p w14:paraId="393C830A" w14:textId="77777777" w:rsidR="00B54861" w:rsidRPr="00F61BAD" w:rsidRDefault="00B54861"/>
        </w:tc>
        <w:tc>
          <w:tcPr>
            <w:tcW w:w="2835" w:type="dxa"/>
          </w:tcPr>
          <w:p w14:paraId="617BECCC" w14:textId="77777777" w:rsidR="00B54861" w:rsidRPr="00F61BAD" w:rsidRDefault="00B54861"/>
        </w:tc>
      </w:tr>
      <w:tr w:rsidR="00B54861" w14:paraId="57D3050B" w14:textId="77777777" w:rsidTr="00EE7C8A">
        <w:tc>
          <w:tcPr>
            <w:tcW w:w="2093" w:type="dxa"/>
          </w:tcPr>
          <w:p w14:paraId="0C7A6C3D" w14:textId="77777777" w:rsidR="00B54861" w:rsidRPr="00F61BAD" w:rsidRDefault="00B54861"/>
        </w:tc>
        <w:tc>
          <w:tcPr>
            <w:tcW w:w="4252" w:type="dxa"/>
          </w:tcPr>
          <w:p w14:paraId="4F971C07" w14:textId="77777777" w:rsidR="00B54861" w:rsidRPr="00F61BAD" w:rsidRDefault="00755A7D" w:rsidP="005178F6">
            <w:pPr>
              <w:spacing w:before="100" w:beforeAutospacing="1" w:after="100" w:afterAutospacing="1"/>
            </w:pPr>
            <w:r w:rsidRPr="00755A7D">
              <w:t>All adverse incidents related to either the provision of transfusion services and/or the use of blood components should be reported to the Hospital Transfusion Team</w:t>
            </w:r>
          </w:p>
        </w:tc>
        <w:tc>
          <w:tcPr>
            <w:tcW w:w="1560" w:type="dxa"/>
          </w:tcPr>
          <w:p w14:paraId="731B1766" w14:textId="77777777" w:rsidR="00B54861" w:rsidRPr="00F61BAD" w:rsidRDefault="00B54861"/>
        </w:tc>
        <w:tc>
          <w:tcPr>
            <w:tcW w:w="3434" w:type="dxa"/>
          </w:tcPr>
          <w:p w14:paraId="715DA29B" w14:textId="77777777" w:rsidR="00B54861" w:rsidRPr="00F61BAD" w:rsidRDefault="00B54861"/>
        </w:tc>
        <w:tc>
          <w:tcPr>
            <w:tcW w:w="2835" w:type="dxa"/>
          </w:tcPr>
          <w:p w14:paraId="30340C92" w14:textId="77777777" w:rsidR="00B54861" w:rsidRPr="00F61BAD" w:rsidRDefault="00B54861"/>
        </w:tc>
      </w:tr>
      <w:tr w:rsidR="00B54861" w14:paraId="03A16F76" w14:textId="77777777" w:rsidTr="00EE7C8A">
        <w:tc>
          <w:tcPr>
            <w:tcW w:w="2093" w:type="dxa"/>
          </w:tcPr>
          <w:p w14:paraId="55756630" w14:textId="77777777" w:rsidR="00B54861" w:rsidRPr="00F61BAD" w:rsidRDefault="00755A7D">
            <w:r>
              <w:t>Staff Support and Welfare</w:t>
            </w:r>
          </w:p>
        </w:tc>
        <w:tc>
          <w:tcPr>
            <w:tcW w:w="4252" w:type="dxa"/>
          </w:tcPr>
          <w:p w14:paraId="13DE2E8F" w14:textId="77777777" w:rsidR="00B54861" w:rsidRPr="00F61BAD" w:rsidRDefault="00755A7D" w:rsidP="005178F6">
            <w:pPr>
              <w:spacing w:before="100" w:beforeAutospacing="1" w:after="100" w:afterAutospacing="1"/>
            </w:pPr>
            <w:r w:rsidRPr="00755A7D">
              <w:t>Hospital Transfusion Laboratories should have policies for the organisation of staff in a Major Incident with systems for provision of additional staff only if needed.</w:t>
            </w:r>
          </w:p>
        </w:tc>
        <w:tc>
          <w:tcPr>
            <w:tcW w:w="1560" w:type="dxa"/>
          </w:tcPr>
          <w:p w14:paraId="4DACE5BC" w14:textId="77777777" w:rsidR="00B54861" w:rsidRPr="00F61BAD" w:rsidRDefault="00B54861"/>
        </w:tc>
        <w:tc>
          <w:tcPr>
            <w:tcW w:w="3434" w:type="dxa"/>
          </w:tcPr>
          <w:p w14:paraId="7CF64991" w14:textId="77777777" w:rsidR="00B54861" w:rsidRPr="00F61BAD" w:rsidRDefault="00B54861"/>
        </w:tc>
        <w:tc>
          <w:tcPr>
            <w:tcW w:w="2835" w:type="dxa"/>
          </w:tcPr>
          <w:p w14:paraId="0F712B93" w14:textId="77777777" w:rsidR="00B54861" w:rsidRPr="00F61BAD" w:rsidRDefault="00B54861"/>
        </w:tc>
      </w:tr>
      <w:tr w:rsidR="00B54861" w14:paraId="14D8CBB4" w14:textId="77777777" w:rsidTr="00EE7C8A">
        <w:tc>
          <w:tcPr>
            <w:tcW w:w="2093" w:type="dxa"/>
          </w:tcPr>
          <w:p w14:paraId="633DB92A" w14:textId="77777777" w:rsidR="00B54861" w:rsidRPr="00F61BAD" w:rsidRDefault="00B54861"/>
        </w:tc>
        <w:tc>
          <w:tcPr>
            <w:tcW w:w="4252" w:type="dxa"/>
          </w:tcPr>
          <w:p w14:paraId="51F55C0B" w14:textId="77777777" w:rsidR="00B54861" w:rsidRPr="00F61BAD" w:rsidRDefault="00755A7D" w:rsidP="005178F6">
            <w:pPr>
              <w:spacing w:before="100" w:beforeAutospacing="1" w:after="100" w:afterAutospacing="1"/>
            </w:pPr>
            <w:r w:rsidRPr="00755A7D">
              <w:t>Trusts should consider having policies for providing food, rest facilities and accommodation for staff unable to travel home</w:t>
            </w:r>
          </w:p>
        </w:tc>
        <w:tc>
          <w:tcPr>
            <w:tcW w:w="1560" w:type="dxa"/>
          </w:tcPr>
          <w:p w14:paraId="4CD8FF64" w14:textId="77777777" w:rsidR="00B54861" w:rsidRPr="00F61BAD" w:rsidRDefault="00B54861"/>
        </w:tc>
        <w:tc>
          <w:tcPr>
            <w:tcW w:w="3434" w:type="dxa"/>
          </w:tcPr>
          <w:p w14:paraId="3BCA80A9" w14:textId="77777777" w:rsidR="00B54861" w:rsidRPr="00F61BAD" w:rsidRDefault="00B54861" w:rsidP="00807C9E"/>
        </w:tc>
        <w:tc>
          <w:tcPr>
            <w:tcW w:w="2835" w:type="dxa"/>
          </w:tcPr>
          <w:p w14:paraId="62B6AB5C" w14:textId="77777777" w:rsidR="00807C9E" w:rsidRPr="00F61BAD" w:rsidRDefault="00807C9E"/>
        </w:tc>
      </w:tr>
      <w:tr w:rsidR="00B54861" w14:paraId="37DCE41F" w14:textId="77777777" w:rsidTr="00EE7C8A">
        <w:tc>
          <w:tcPr>
            <w:tcW w:w="2093" w:type="dxa"/>
          </w:tcPr>
          <w:p w14:paraId="5C0B85B7" w14:textId="77777777" w:rsidR="00B54861" w:rsidRPr="00F61BAD" w:rsidRDefault="00B54861"/>
        </w:tc>
        <w:tc>
          <w:tcPr>
            <w:tcW w:w="4252" w:type="dxa"/>
          </w:tcPr>
          <w:p w14:paraId="4115A8B4" w14:textId="77777777" w:rsidR="00B54861" w:rsidRPr="00F61BAD" w:rsidRDefault="00755A7D" w:rsidP="005178F6">
            <w:pPr>
              <w:spacing w:before="100" w:beforeAutospacing="1" w:after="100" w:afterAutospacing="1"/>
            </w:pPr>
            <w:r w:rsidRPr="00755A7D">
              <w:t>Staff may need some psychosocial support in the time following the incident. In some circumstances those affected may need additional support for a considerable period. Debriefing may help individuals and support the transfusion team</w:t>
            </w:r>
          </w:p>
        </w:tc>
        <w:tc>
          <w:tcPr>
            <w:tcW w:w="1560" w:type="dxa"/>
          </w:tcPr>
          <w:p w14:paraId="76F5D874" w14:textId="77777777" w:rsidR="00B54861" w:rsidRPr="00F61BAD" w:rsidRDefault="00B54861"/>
        </w:tc>
        <w:tc>
          <w:tcPr>
            <w:tcW w:w="3434" w:type="dxa"/>
          </w:tcPr>
          <w:p w14:paraId="507DDCE4" w14:textId="77777777" w:rsidR="00B54861" w:rsidRPr="00F61BAD" w:rsidRDefault="00B54861"/>
        </w:tc>
        <w:tc>
          <w:tcPr>
            <w:tcW w:w="2835" w:type="dxa"/>
          </w:tcPr>
          <w:p w14:paraId="078FEF52" w14:textId="77777777" w:rsidR="002A4399" w:rsidRPr="00F61BAD" w:rsidRDefault="002A4399"/>
        </w:tc>
      </w:tr>
      <w:tr w:rsidR="00B54861" w14:paraId="556987E4" w14:textId="77777777" w:rsidTr="00EE7C8A">
        <w:tc>
          <w:tcPr>
            <w:tcW w:w="2093" w:type="dxa"/>
          </w:tcPr>
          <w:p w14:paraId="3028501B" w14:textId="77777777" w:rsidR="00B54861" w:rsidRPr="00F61BAD" w:rsidRDefault="00B54861"/>
        </w:tc>
        <w:tc>
          <w:tcPr>
            <w:tcW w:w="4252" w:type="dxa"/>
          </w:tcPr>
          <w:p w14:paraId="1595E34B" w14:textId="77777777" w:rsidR="00B54861" w:rsidRPr="00F61BAD" w:rsidRDefault="00755A7D" w:rsidP="005178F6">
            <w:pPr>
              <w:spacing w:before="100" w:beforeAutospacing="1" w:after="100" w:afterAutospacing="1"/>
            </w:pPr>
            <w:r w:rsidRPr="00755A7D">
              <w:t>At the command “Major Incident Stand Down” the transfusion team should hold a short ‘hot debrief’ meeting drawing out issues that presented problems or where improvements can be mad</w:t>
            </w:r>
          </w:p>
        </w:tc>
        <w:tc>
          <w:tcPr>
            <w:tcW w:w="1560" w:type="dxa"/>
          </w:tcPr>
          <w:p w14:paraId="323D72AA" w14:textId="77777777" w:rsidR="00B54861" w:rsidRPr="00F61BAD" w:rsidRDefault="00B54861"/>
        </w:tc>
        <w:tc>
          <w:tcPr>
            <w:tcW w:w="3434" w:type="dxa"/>
          </w:tcPr>
          <w:p w14:paraId="7A64A2FE" w14:textId="77777777" w:rsidR="00B54861" w:rsidRPr="00F61BAD" w:rsidRDefault="00B54861"/>
        </w:tc>
        <w:tc>
          <w:tcPr>
            <w:tcW w:w="2835" w:type="dxa"/>
          </w:tcPr>
          <w:p w14:paraId="01CDF62B" w14:textId="77777777" w:rsidR="002A4399" w:rsidRPr="00F61BAD" w:rsidRDefault="002A4399"/>
        </w:tc>
      </w:tr>
      <w:tr w:rsidR="00B54861" w14:paraId="7DBA35AB" w14:textId="77777777" w:rsidTr="00EE7C8A">
        <w:tc>
          <w:tcPr>
            <w:tcW w:w="2093" w:type="dxa"/>
          </w:tcPr>
          <w:p w14:paraId="4C8F1F7B" w14:textId="77777777" w:rsidR="00B54861" w:rsidRPr="00F61BAD" w:rsidRDefault="00B54861"/>
        </w:tc>
        <w:tc>
          <w:tcPr>
            <w:tcW w:w="4252" w:type="dxa"/>
          </w:tcPr>
          <w:p w14:paraId="29B78083" w14:textId="77777777" w:rsidR="00B54861" w:rsidRPr="00F61BAD" w:rsidRDefault="00755A7D" w:rsidP="005178F6">
            <w:pPr>
              <w:spacing w:before="100" w:beforeAutospacing="1" w:after="100" w:afterAutospacing="1"/>
            </w:pPr>
            <w:r w:rsidRPr="00755A7D">
              <w:t>A representative from the transfusion department should attend their hospital hot debrief meeting which is normally initiated by the director leading the Gold control team</w:t>
            </w:r>
          </w:p>
        </w:tc>
        <w:tc>
          <w:tcPr>
            <w:tcW w:w="1560" w:type="dxa"/>
          </w:tcPr>
          <w:p w14:paraId="7FC9D85C" w14:textId="77777777" w:rsidR="00B54861" w:rsidRPr="00F61BAD" w:rsidRDefault="00B54861"/>
        </w:tc>
        <w:tc>
          <w:tcPr>
            <w:tcW w:w="3434" w:type="dxa"/>
          </w:tcPr>
          <w:p w14:paraId="7D7E3927" w14:textId="77777777" w:rsidR="00B54861" w:rsidRPr="00F61BAD" w:rsidRDefault="00B54861"/>
        </w:tc>
        <w:tc>
          <w:tcPr>
            <w:tcW w:w="2835" w:type="dxa"/>
          </w:tcPr>
          <w:p w14:paraId="6E63978F" w14:textId="77777777" w:rsidR="00B54861" w:rsidRPr="00F61BAD" w:rsidRDefault="00B54861"/>
        </w:tc>
      </w:tr>
      <w:tr w:rsidR="00B54861" w14:paraId="233D8944" w14:textId="77777777" w:rsidTr="00EE7C8A">
        <w:tc>
          <w:tcPr>
            <w:tcW w:w="2093" w:type="dxa"/>
          </w:tcPr>
          <w:p w14:paraId="6BA9D08A" w14:textId="77777777" w:rsidR="00B54861" w:rsidRPr="00F61BAD" w:rsidRDefault="00755A7D">
            <w:r>
              <w:t>Recovery Phase</w:t>
            </w:r>
          </w:p>
        </w:tc>
        <w:tc>
          <w:tcPr>
            <w:tcW w:w="4252" w:type="dxa"/>
          </w:tcPr>
          <w:p w14:paraId="6CB21BDE" w14:textId="77777777" w:rsidR="00B54861" w:rsidRPr="00F61BAD" w:rsidRDefault="00755A7D" w:rsidP="00755A7D">
            <w:pPr>
              <w:spacing w:before="100" w:beforeAutospacing="1" w:after="100" w:afterAutospacing="1"/>
            </w:pPr>
            <w:r w:rsidRPr="00755A7D">
              <w:t>Transfusion Laboratories should re-assess their blood stocks in the light of these future activities and adjust standing orders with NHSBT as required.</w:t>
            </w:r>
          </w:p>
        </w:tc>
        <w:tc>
          <w:tcPr>
            <w:tcW w:w="1560" w:type="dxa"/>
          </w:tcPr>
          <w:p w14:paraId="07E3F67C" w14:textId="77777777" w:rsidR="00B54861" w:rsidRPr="00F61BAD" w:rsidRDefault="00B54861"/>
        </w:tc>
        <w:tc>
          <w:tcPr>
            <w:tcW w:w="3434" w:type="dxa"/>
          </w:tcPr>
          <w:p w14:paraId="4F7396A3" w14:textId="77777777" w:rsidR="00B54861" w:rsidRPr="00F61BAD" w:rsidRDefault="00B54861"/>
        </w:tc>
        <w:tc>
          <w:tcPr>
            <w:tcW w:w="2835" w:type="dxa"/>
          </w:tcPr>
          <w:p w14:paraId="2066CFC5" w14:textId="77777777" w:rsidR="00B54861" w:rsidRPr="00F61BAD" w:rsidRDefault="00B54861"/>
        </w:tc>
      </w:tr>
      <w:tr w:rsidR="00755A7D" w14:paraId="6BEF418E" w14:textId="77777777" w:rsidTr="00EE7C8A">
        <w:tc>
          <w:tcPr>
            <w:tcW w:w="2093" w:type="dxa"/>
          </w:tcPr>
          <w:p w14:paraId="0AC7C13C" w14:textId="77777777" w:rsidR="00755A7D" w:rsidRPr="00F61BAD" w:rsidRDefault="00755A7D"/>
        </w:tc>
        <w:tc>
          <w:tcPr>
            <w:tcW w:w="4252" w:type="dxa"/>
          </w:tcPr>
          <w:p w14:paraId="2C4CD1DF" w14:textId="77777777" w:rsidR="00755A7D" w:rsidRPr="00F61BAD" w:rsidRDefault="00755A7D" w:rsidP="005178F6">
            <w:pPr>
              <w:spacing w:before="100" w:beforeAutospacing="1" w:after="100" w:afterAutospacing="1"/>
            </w:pPr>
            <w:r w:rsidRPr="00755A7D">
              <w:t>Transfusion Laboratories should complete their traceability audits and endeavour to account for all blood components issued during the incident.</w:t>
            </w:r>
          </w:p>
        </w:tc>
        <w:tc>
          <w:tcPr>
            <w:tcW w:w="1560" w:type="dxa"/>
          </w:tcPr>
          <w:p w14:paraId="1A1C1EE6" w14:textId="77777777" w:rsidR="00755A7D" w:rsidRPr="00F61BAD" w:rsidRDefault="00755A7D"/>
        </w:tc>
        <w:tc>
          <w:tcPr>
            <w:tcW w:w="3434" w:type="dxa"/>
          </w:tcPr>
          <w:p w14:paraId="43DA0A96" w14:textId="77777777" w:rsidR="00755A7D" w:rsidRPr="00F61BAD" w:rsidRDefault="00755A7D"/>
        </w:tc>
        <w:tc>
          <w:tcPr>
            <w:tcW w:w="2835" w:type="dxa"/>
          </w:tcPr>
          <w:p w14:paraId="1ED4FCB4" w14:textId="77777777" w:rsidR="00755A7D" w:rsidRPr="00F61BAD" w:rsidRDefault="00755A7D"/>
        </w:tc>
      </w:tr>
      <w:tr w:rsidR="00755A7D" w14:paraId="36EF8A5D" w14:textId="77777777" w:rsidTr="00EE7C8A">
        <w:tc>
          <w:tcPr>
            <w:tcW w:w="2093" w:type="dxa"/>
          </w:tcPr>
          <w:p w14:paraId="54B2DF51" w14:textId="77777777" w:rsidR="00755A7D" w:rsidRPr="00F61BAD" w:rsidRDefault="00755A7D">
            <w:r>
              <w:t>Business Continuity</w:t>
            </w:r>
          </w:p>
        </w:tc>
        <w:tc>
          <w:tcPr>
            <w:tcW w:w="4252" w:type="dxa"/>
          </w:tcPr>
          <w:p w14:paraId="6D2E14A5" w14:textId="77777777" w:rsidR="00755A7D" w:rsidRPr="00F61BAD" w:rsidRDefault="00755A7D" w:rsidP="005178F6">
            <w:pPr>
              <w:spacing w:before="100" w:beforeAutospacing="1" w:after="100" w:afterAutospacing="1"/>
            </w:pPr>
            <w:r w:rsidRPr="00755A7D">
              <w:t>Local business continuity plans should be held in readiness in the Transfusion Laboratory as well as in the emergency planning and command control rooms</w:t>
            </w:r>
          </w:p>
        </w:tc>
        <w:tc>
          <w:tcPr>
            <w:tcW w:w="1560" w:type="dxa"/>
          </w:tcPr>
          <w:p w14:paraId="1BDADF33" w14:textId="77777777" w:rsidR="00755A7D" w:rsidRPr="00F61BAD" w:rsidRDefault="00755A7D"/>
        </w:tc>
        <w:tc>
          <w:tcPr>
            <w:tcW w:w="3434" w:type="dxa"/>
          </w:tcPr>
          <w:p w14:paraId="36B178AD" w14:textId="77777777" w:rsidR="00755A7D" w:rsidRPr="00F61BAD" w:rsidRDefault="00755A7D" w:rsidP="003A730B"/>
        </w:tc>
        <w:tc>
          <w:tcPr>
            <w:tcW w:w="2835" w:type="dxa"/>
          </w:tcPr>
          <w:p w14:paraId="516F53D2" w14:textId="77777777" w:rsidR="003A730B" w:rsidRPr="00F61BAD" w:rsidRDefault="003A730B"/>
        </w:tc>
      </w:tr>
      <w:tr w:rsidR="00755A7D" w14:paraId="6A6A4FFE" w14:textId="77777777" w:rsidTr="00EE7C8A">
        <w:tc>
          <w:tcPr>
            <w:tcW w:w="2093" w:type="dxa"/>
          </w:tcPr>
          <w:p w14:paraId="1E9BDAEB" w14:textId="77777777" w:rsidR="00755A7D" w:rsidRPr="00F61BAD" w:rsidRDefault="00755A7D"/>
        </w:tc>
        <w:tc>
          <w:tcPr>
            <w:tcW w:w="4252" w:type="dxa"/>
          </w:tcPr>
          <w:p w14:paraId="5C2A27A3" w14:textId="77777777" w:rsidR="00755A7D" w:rsidRPr="00F61BAD" w:rsidRDefault="00755A7D" w:rsidP="005178F6">
            <w:pPr>
              <w:spacing w:before="100" w:beforeAutospacing="1" w:after="100" w:afterAutospacing="1"/>
            </w:pPr>
            <w:r w:rsidRPr="00755A7D">
              <w:t>Hospital Transfusion Laboratories should maintain the capability to use manual techniques for testing and non-electronic record keeping.</w:t>
            </w:r>
          </w:p>
        </w:tc>
        <w:tc>
          <w:tcPr>
            <w:tcW w:w="1560" w:type="dxa"/>
          </w:tcPr>
          <w:p w14:paraId="583F6FE1" w14:textId="77777777" w:rsidR="00755A7D" w:rsidRPr="00F61BAD" w:rsidRDefault="00755A7D"/>
        </w:tc>
        <w:tc>
          <w:tcPr>
            <w:tcW w:w="3434" w:type="dxa"/>
          </w:tcPr>
          <w:p w14:paraId="14B3F883" w14:textId="77777777" w:rsidR="00755A7D" w:rsidRPr="00F61BAD" w:rsidRDefault="00755A7D"/>
        </w:tc>
        <w:tc>
          <w:tcPr>
            <w:tcW w:w="2835" w:type="dxa"/>
          </w:tcPr>
          <w:p w14:paraId="57517109" w14:textId="77777777" w:rsidR="00755A7D" w:rsidRPr="00F61BAD" w:rsidRDefault="00755A7D"/>
        </w:tc>
      </w:tr>
      <w:tr w:rsidR="00755A7D" w14:paraId="70052BDF" w14:textId="77777777" w:rsidTr="00EE7C8A">
        <w:tc>
          <w:tcPr>
            <w:tcW w:w="2093" w:type="dxa"/>
          </w:tcPr>
          <w:p w14:paraId="0B8BA86E" w14:textId="77777777" w:rsidR="00755A7D" w:rsidRPr="00F61BAD" w:rsidRDefault="00755A7D"/>
        </w:tc>
        <w:tc>
          <w:tcPr>
            <w:tcW w:w="4252" w:type="dxa"/>
          </w:tcPr>
          <w:p w14:paraId="07C93FAF" w14:textId="77777777" w:rsidR="00755A7D" w:rsidRPr="00F61BAD" w:rsidRDefault="00755A7D" w:rsidP="005178F6">
            <w:pPr>
              <w:spacing w:before="100" w:beforeAutospacing="1" w:after="100" w:afterAutospacing="1"/>
            </w:pPr>
            <w:r w:rsidRPr="00A1649A">
              <w:t>It is specifically recommended that non-electronic records of regularly transfused patients with clinically significant antibodies and special requirements are regularly maintained to enable timely transfusion in the event of a cyber-attack or power failur</w:t>
            </w:r>
            <w:r w:rsidR="002A4399" w:rsidRPr="00A1649A">
              <w:t>e</w:t>
            </w:r>
          </w:p>
        </w:tc>
        <w:tc>
          <w:tcPr>
            <w:tcW w:w="1560" w:type="dxa"/>
          </w:tcPr>
          <w:p w14:paraId="4E9CC722" w14:textId="77777777" w:rsidR="00755A7D" w:rsidRPr="00F61BAD" w:rsidRDefault="00755A7D"/>
        </w:tc>
        <w:tc>
          <w:tcPr>
            <w:tcW w:w="3434" w:type="dxa"/>
          </w:tcPr>
          <w:p w14:paraId="6F9043C8" w14:textId="77777777" w:rsidR="003A730B" w:rsidRPr="00F61BAD" w:rsidRDefault="003A730B"/>
        </w:tc>
        <w:tc>
          <w:tcPr>
            <w:tcW w:w="2835" w:type="dxa"/>
          </w:tcPr>
          <w:p w14:paraId="0C854718" w14:textId="77777777" w:rsidR="00721E08" w:rsidRPr="00F61BAD" w:rsidRDefault="00721E08"/>
        </w:tc>
      </w:tr>
      <w:tr w:rsidR="00755A7D" w14:paraId="63C5C57F" w14:textId="77777777" w:rsidTr="00EE7C8A">
        <w:tc>
          <w:tcPr>
            <w:tcW w:w="2093" w:type="dxa"/>
          </w:tcPr>
          <w:p w14:paraId="11710725" w14:textId="77777777" w:rsidR="00755A7D" w:rsidRPr="00F61BAD" w:rsidRDefault="00755A7D"/>
        </w:tc>
        <w:tc>
          <w:tcPr>
            <w:tcW w:w="4252" w:type="dxa"/>
          </w:tcPr>
          <w:p w14:paraId="382BD71B" w14:textId="77777777" w:rsidR="00755A7D" w:rsidRPr="00F61BAD" w:rsidRDefault="002A4399" w:rsidP="005178F6">
            <w:pPr>
              <w:spacing w:before="100" w:beforeAutospacing="1" w:after="100" w:afterAutospacing="1"/>
            </w:pPr>
            <w:r>
              <w:t>P</w:t>
            </w:r>
            <w:r w:rsidR="00755A7D" w:rsidRPr="00755A7D">
              <w:t>athology services should comply with cyber and data security good practice to reduce the risk of IT failure</w:t>
            </w:r>
          </w:p>
        </w:tc>
        <w:tc>
          <w:tcPr>
            <w:tcW w:w="1560" w:type="dxa"/>
          </w:tcPr>
          <w:p w14:paraId="04E7F749" w14:textId="77777777" w:rsidR="00755A7D" w:rsidRPr="00F61BAD" w:rsidRDefault="00755A7D"/>
        </w:tc>
        <w:tc>
          <w:tcPr>
            <w:tcW w:w="3434" w:type="dxa"/>
          </w:tcPr>
          <w:p w14:paraId="52066224" w14:textId="77777777" w:rsidR="00755A7D" w:rsidRPr="00F61BAD" w:rsidRDefault="00755A7D" w:rsidP="00721E08"/>
        </w:tc>
        <w:tc>
          <w:tcPr>
            <w:tcW w:w="2835" w:type="dxa"/>
          </w:tcPr>
          <w:p w14:paraId="59EFE8E0" w14:textId="77777777" w:rsidR="00755A7D" w:rsidRPr="00F61BAD" w:rsidRDefault="00755A7D"/>
        </w:tc>
      </w:tr>
    </w:tbl>
    <w:p w14:paraId="47CD770D" w14:textId="77777777" w:rsidR="0043206B" w:rsidRDefault="0043206B">
      <w:pPr>
        <w:rPr>
          <w:sz w:val="28"/>
          <w:szCs w:val="28"/>
        </w:rPr>
      </w:pPr>
    </w:p>
    <w:p w14:paraId="296B0ABD" w14:textId="3D572922" w:rsidR="0043206B" w:rsidRDefault="0043206B">
      <w:pPr>
        <w:rPr>
          <w:sz w:val="28"/>
          <w:szCs w:val="28"/>
        </w:rPr>
      </w:pPr>
      <w:r>
        <w:rPr>
          <w:sz w:val="28"/>
          <w:szCs w:val="28"/>
        </w:rPr>
        <w:t>Additional comments:</w:t>
      </w:r>
    </w:p>
    <w:p w14:paraId="53D1D877" w14:textId="77777777" w:rsidR="0043206B" w:rsidRDefault="0043206B">
      <w:pPr>
        <w:rPr>
          <w:sz w:val="28"/>
          <w:szCs w:val="28"/>
        </w:rPr>
      </w:pPr>
    </w:p>
    <w:p w14:paraId="35367719" w14:textId="768A0EE9" w:rsidR="005178F6" w:rsidRPr="005178F6" w:rsidRDefault="0043206B">
      <w:pPr>
        <w:rPr>
          <w:sz w:val="28"/>
          <w:szCs w:val="28"/>
        </w:rPr>
      </w:pPr>
      <w:r>
        <w:rPr>
          <w:sz w:val="28"/>
          <w:szCs w:val="28"/>
        </w:rPr>
        <w:t>Date of next review…………………………………………………</w:t>
      </w:r>
      <w:proofErr w:type="gramStart"/>
      <w:r>
        <w:rPr>
          <w:sz w:val="28"/>
          <w:szCs w:val="28"/>
        </w:rPr>
        <w:t>…..</w:t>
      </w:r>
      <w:proofErr w:type="gramEnd"/>
    </w:p>
    <w:sectPr w:rsidR="005178F6" w:rsidRPr="005178F6" w:rsidSect="005178F6">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41F05" w14:textId="77777777" w:rsidR="006B2D49" w:rsidRDefault="006B2D49" w:rsidP="0043206B">
      <w:pPr>
        <w:spacing w:after="0" w:line="240" w:lineRule="auto"/>
      </w:pPr>
      <w:r>
        <w:separator/>
      </w:r>
    </w:p>
  </w:endnote>
  <w:endnote w:type="continuationSeparator" w:id="0">
    <w:p w14:paraId="00ED8534" w14:textId="77777777" w:rsidR="006B2D49" w:rsidRDefault="006B2D49" w:rsidP="00432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1135853"/>
      <w:docPartObj>
        <w:docPartGallery w:val="Page Numbers (Bottom of Page)"/>
        <w:docPartUnique/>
      </w:docPartObj>
    </w:sdtPr>
    <w:sdtEndPr>
      <w:rPr>
        <w:noProof/>
      </w:rPr>
    </w:sdtEndPr>
    <w:sdtContent>
      <w:p w14:paraId="25FA4363" w14:textId="212A0A05" w:rsidR="0043206B" w:rsidRDefault="0043206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61BBD9" w14:textId="77777777" w:rsidR="0043206B" w:rsidRDefault="00432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76586" w14:textId="77777777" w:rsidR="006B2D49" w:rsidRDefault="006B2D49" w:rsidP="0043206B">
      <w:pPr>
        <w:spacing w:after="0" w:line="240" w:lineRule="auto"/>
      </w:pPr>
      <w:r>
        <w:separator/>
      </w:r>
    </w:p>
  </w:footnote>
  <w:footnote w:type="continuationSeparator" w:id="0">
    <w:p w14:paraId="69C51603" w14:textId="77777777" w:rsidR="006B2D49" w:rsidRDefault="006B2D49" w:rsidP="004320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72C71"/>
    <w:multiLevelType w:val="multilevel"/>
    <w:tmpl w:val="3BD2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192E75"/>
    <w:multiLevelType w:val="multilevel"/>
    <w:tmpl w:val="13FAB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327AF4"/>
    <w:multiLevelType w:val="multilevel"/>
    <w:tmpl w:val="4A5AE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0B548E"/>
    <w:multiLevelType w:val="multilevel"/>
    <w:tmpl w:val="3970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8B4528"/>
    <w:multiLevelType w:val="multilevel"/>
    <w:tmpl w:val="818E9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5266847">
    <w:abstractNumId w:val="1"/>
  </w:num>
  <w:num w:numId="2" w16cid:durableId="1214656710">
    <w:abstractNumId w:val="2"/>
  </w:num>
  <w:num w:numId="3" w16cid:durableId="206844383">
    <w:abstractNumId w:val="4"/>
  </w:num>
  <w:num w:numId="4" w16cid:durableId="1756437209">
    <w:abstractNumId w:val="0"/>
  </w:num>
  <w:num w:numId="5" w16cid:durableId="7418346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8F6"/>
    <w:rsid w:val="00000CB4"/>
    <w:rsid w:val="000D29A5"/>
    <w:rsid w:val="001576B4"/>
    <w:rsid w:val="002925B3"/>
    <w:rsid w:val="002A4399"/>
    <w:rsid w:val="002D62A7"/>
    <w:rsid w:val="003A730B"/>
    <w:rsid w:val="004124C1"/>
    <w:rsid w:val="0043206B"/>
    <w:rsid w:val="00433434"/>
    <w:rsid w:val="004B2C37"/>
    <w:rsid w:val="00513B8B"/>
    <w:rsid w:val="005178F6"/>
    <w:rsid w:val="00547725"/>
    <w:rsid w:val="00576FBF"/>
    <w:rsid w:val="005943C6"/>
    <w:rsid w:val="005D2301"/>
    <w:rsid w:val="006B2D49"/>
    <w:rsid w:val="00721E08"/>
    <w:rsid w:val="00755A7D"/>
    <w:rsid w:val="007C0F70"/>
    <w:rsid w:val="00807C9E"/>
    <w:rsid w:val="00871C20"/>
    <w:rsid w:val="00930432"/>
    <w:rsid w:val="00961121"/>
    <w:rsid w:val="0097102D"/>
    <w:rsid w:val="009A4895"/>
    <w:rsid w:val="009C6E75"/>
    <w:rsid w:val="009D4ED3"/>
    <w:rsid w:val="00A1649A"/>
    <w:rsid w:val="00A3535D"/>
    <w:rsid w:val="00A7399D"/>
    <w:rsid w:val="00B34CDD"/>
    <w:rsid w:val="00B47006"/>
    <w:rsid w:val="00B54861"/>
    <w:rsid w:val="00B655E8"/>
    <w:rsid w:val="00B7348B"/>
    <w:rsid w:val="00BD34D1"/>
    <w:rsid w:val="00CD15C6"/>
    <w:rsid w:val="00D736ED"/>
    <w:rsid w:val="00DF3D8E"/>
    <w:rsid w:val="00EE7C8A"/>
    <w:rsid w:val="00F61BAD"/>
    <w:rsid w:val="00F63D71"/>
    <w:rsid w:val="00FB1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E2527"/>
  <w15:docId w15:val="{152F0CFC-587A-44E0-A191-1981841C1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7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20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206B"/>
  </w:style>
  <w:style w:type="paragraph" w:styleId="Footer">
    <w:name w:val="footer"/>
    <w:basedOn w:val="Normal"/>
    <w:link w:val="FooterChar"/>
    <w:uiPriority w:val="99"/>
    <w:unhideWhenUsed/>
    <w:rsid w:val="004320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2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69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1440</Words>
  <Characters>8210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Staves Julie (RTH) OUH</dc:creator>
  <cp:lastModifiedBy>Andrea Marshall</cp:lastModifiedBy>
  <cp:revision>2</cp:revision>
  <dcterms:created xsi:type="dcterms:W3CDTF">2023-03-21T10:42:00Z</dcterms:created>
  <dcterms:modified xsi:type="dcterms:W3CDTF">2023-03-21T10:42:00Z</dcterms:modified>
</cp:coreProperties>
</file>