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5A92" w14:textId="3997BC48" w:rsidR="00F839B7" w:rsidRDefault="00F839B7" w:rsidP="00387390">
      <w:pPr>
        <w:pStyle w:val="CommentText"/>
        <w:autoSpaceDE w:val="0"/>
        <w:autoSpaceDN w:val="0"/>
        <w:adjustRightInd w:val="0"/>
        <w:spacing w:after="0"/>
        <w:jc w:val="both"/>
        <w:rPr>
          <w:rFonts w:ascii="Arial" w:hAnsi="Arial" w:cs="Arial"/>
          <w:b/>
          <w:bCs/>
          <w:sz w:val="24"/>
          <w:szCs w:val="24"/>
        </w:rPr>
      </w:pPr>
    </w:p>
    <w:p w14:paraId="65BD5B98" w14:textId="3128A610" w:rsidR="00F839B7" w:rsidRDefault="00F839B7" w:rsidP="00387390">
      <w:pPr>
        <w:pStyle w:val="CommentText"/>
        <w:autoSpaceDE w:val="0"/>
        <w:autoSpaceDN w:val="0"/>
        <w:adjustRightInd w:val="0"/>
        <w:spacing w:after="0"/>
        <w:jc w:val="both"/>
        <w:rPr>
          <w:rFonts w:ascii="Arial" w:hAnsi="Arial" w:cs="Arial"/>
          <w:b/>
          <w:bCs/>
          <w:sz w:val="24"/>
          <w:szCs w:val="24"/>
        </w:rPr>
      </w:pPr>
    </w:p>
    <w:p w14:paraId="7275DE48" w14:textId="28AD0441" w:rsidR="00B67CB5" w:rsidRPr="00387390" w:rsidRDefault="00B67CB5" w:rsidP="00387390">
      <w:pPr>
        <w:pStyle w:val="CommentText"/>
        <w:autoSpaceDE w:val="0"/>
        <w:autoSpaceDN w:val="0"/>
        <w:adjustRightInd w:val="0"/>
        <w:spacing w:after="0"/>
        <w:jc w:val="both"/>
        <w:rPr>
          <w:rFonts w:ascii="Arial" w:hAnsi="Arial" w:cs="Arial"/>
          <w:b/>
          <w:bCs/>
          <w:sz w:val="24"/>
          <w:szCs w:val="24"/>
        </w:rPr>
      </w:pPr>
      <w:r w:rsidRPr="00387390">
        <w:rPr>
          <w:rFonts w:ascii="Arial" w:hAnsi="Arial" w:cs="Arial"/>
          <w:b/>
          <w:bCs/>
          <w:sz w:val="24"/>
          <w:szCs w:val="24"/>
        </w:rPr>
        <w:t>Introduction</w:t>
      </w:r>
    </w:p>
    <w:p w14:paraId="61D09B01" w14:textId="073D5C25" w:rsidR="00387390" w:rsidRPr="00387390" w:rsidRDefault="00C97E1E" w:rsidP="00387390">
      <w:pPr>
        <w:pStyle w:val="CommentText"/>
        <w:autoSpaceDE w:val="0"/>
        <w:autoSpaceDN w:val="0"/>
        <w:adjustRightInd w:val="0"/>
        <w:spacing w:after="0"/>
        <w:ind w:left="720"/>
        <w:jc w:val="both"/>
        <w:rPr>
          <w:rFonts w:ascii="Arial" w:hAnsi="Arial" w:cs="Arial"/>
          <w:iCs/>
          <w:sz w:val="22"/>
          <w:szCs w:val="22"/>
        </w:rPr>
      </w:pPr>
      <w:r>
        <w:rPr>
          <w:rFonts w:ascii="Arial" w:hAnsi="Arial" w:cs="Arial"/>
          <w:iCs/>
          <w:noProof/>
        </w:rPr>
        <mc:AlternateContent>
          <mc:Choice Requires="wps">
            <w:drawing>
              <wp:anchor distT="0" distB="0" distL="114300" distR="114300" simplePos="0" relativeHeight="251672576" behindDoc="0" locked="0" layoutInCell="1" allowOverlap="1" wp14:anchorId="01E7BDB1" wp14:editId="11057DBE">
                <wp:simplePos x="0" y="0"/>
                <wp:positionH relativeFrom="margin">
                  <wp:align>left</wp:align>
                </wp:positionH>
                <wp:positionV relativeFrom="paragraph">
                  <wp:posOffset>1596390</wp:posOffset>
                </wp:positionV>
                <wp:extent cx="8801100" cy="838200"/>
                <wp:effectExtent l="0" t="0" r="19050" b="19050"/>
                <wp:wrapTopAndBottom/>
                <wp:docPr id="12" name="Rectangle: Rounded Corners 12"/>
                <wp:cNvGraphicFramePr/>
                <a:graphic xmlns:a="http://schemas.openxmlformats.org/drawingml/2006/main">
                  <a:graphicData uri="http://schemas.microsoft.com/office/word/2010/wordprocessingShape">
                    <wps:wsp>
                      <wps:cNvSpPr/>
                      <wps:spPr>
                        <a:xfrm>
                          <a:off x="0" y="0"/>
                          <a:ext cx="8801100" cy="8382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B707D" w14:textId="77777777" w:rsidR="00F839B7" w:rsidRP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r w:rsidRPr="00F839B7">
                              <w:rPr>
                                <w:rFonts w:ascii="Arial" w:hAnsi="Arial" w:cs="Arial"/>
                                <w:iCs/>
                                <w:color w:val="000000" w:themeColor="text1"/>
                                <w:sz w:val="22"/>
                                <w:szCs w:val="22"/>
                              </w:rPr>
                              <w:t>Around 2 million units of blood and components are used across hospitals in England to support patients across a wide spectrum of acute clinical disciplines for adult and paediatric patients such as trauma, surgery, cancer, renal, intensive care etc. It is essential to define a clear policy for the many healthcare teams involved to support safe and appropriate use of blood for effective patient care.</w:t>
                            </w:r>
                          </w:p>
                          <w:p w14:paraId="453F6AC4" w14:textId="77777777" w:rsidR="00F839B7" w:rsidRPr="00F64DDB" w:rsidRDefault="00F839B7" w:rsidP="00F839B7">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7BDB1" id="Rectangle: Rounded Corners 12" o:spid="_x0000_s1026" style="position:absolute;left:0;text-align:left;margin-left:0;margin-top:125.7pt;width:693pt;height:6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" fillcolor="#fbe4d5 [661]" strokecolor="#1f3763 [1604]" strokeweight="1pt">
                <v:stroke joinstyle="miter"/>
                <v:textbox>
                  <w:txbxContent>
                    <w:p w14:paraId="0ADB707D" w14:textId="77777777" w:rsidR="00F839B7" w:rsidRP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r w:rsidRPr="00F839B7">
                        <w:rPr>
                          <w:rFonts w:ascii="Arial" w:hAnsi="Arial" w:cs="Arial"/>
                          <w:iCs/>
                          <w:color w:val="000000" w:themeColor="text1"/>
                          <w:sz w:val="22"/>
                          <w:szCs w:val="22"/>
                        </w:rPr>
                        <w:t>Around 2 million units of blood and components are used across hospitals in England to support patients across a wide spectrum of acute clinical disciplines for adult and paediatric patients such as trauma, surgery, cancer, renal, intensive care etc. It is essential to define a clear policy for the many healthcare teams involved to support safe and appropriate use of blood for effective patient care.</w:t>
                      </w:r>
                    </w:p>
                    <w:p w14:paraId="453F6AC4" w14:textId="77777777" w:rsidR="00F839B7" w:rsidRPr="00F64DDB" w:rsidRDefault="00F839B7" w:rsidP="00F839B7">
                      <w:pPr>
                        <w:jc w:val="center"/>
                        <w:rPr>
                          <w:color w:val="000000" w:themeColor="text1"/>
                          <w:sz w:val="24"/>
                          <w:szCs w:val="24"/>
                        </w:rPr>
                      </w:pPr>
                    </w:p>
                  </w:txbxContent>
                </v:textbox>
                <w10:wrap type="topAndBottom" anchorx="margin"/>
              </v:roundrect>
            </w:pict>
          </mc:Fallback>
        </mc:AlternateContent>
      </w:r>
      <w:r>
        <w:rPr>
          <w:rFonts w:ascii="Arial" w:hAnsi="Arial" w:cs="Arial"/>
          <w:iCs/>
          <w:noProof/>
        </w:rPr>
        <mc:AlternateContent>
          <mc:Choice Requires="wps">
            <w:drawing>
              <wp:anchor distT="0" distB="0" distL="114300" distR="114300" simplePos="0" relativeHeight="251670528" behindDoc="0" locked="0" layoutInCell="1" allowOverlap="1" wp14:anchorId="41BC6236" wp14:editId="24FC1974">
                <wp:simplePos x="0" y="0"/>
                <wp:positionH relativeFrom="margin">
                  <wp:align>left</wp:align>
                </wp:positionH>
                <wp:positionV relativeFrom="paragraph">
                  <wp:posOffset>2625090</wp:posOffset>
                </wp:positionV>
                <wp:extent cx="8801100" cy="838200"/>
                <wp:effectExtent l="0" t="0" r="19050" b="19050"/>
                <wp:wrapTopAndBottom/>
                <wp:docPr id="11" name="Rectangle: Rounded Corners 11"/>
                <wp:cNvGraphicFramePr/>
                <a:graphic xmlns:a="http://schemas.openxmlformats.org/drawingml/2006/main">
                  <a:graphicData uri="http://schemas.microsoft.com/office/word/2010/wordprocessingShape">
                    <wps:wsp>
                      <wps:cNvSpPr/>
                      <wps:spPr>
                        <a:xfrm>
                          <a:off x="0" y="0"/>
                          <a:ext cx="8801100" cy="8382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301135" w14:textId="77777777" w:rsidR="00F839B7" w:rsidRPr="00F839B7" w:rsidRDefault="00F839B7" w:rsidP="00F839B7">
                            <w:pPr>
                              <w:jc w:val="center"/>
                              <w:rPr>
                                <w:color w:val="000000" w:themeColor="text1"/>
                              </w:rPr>
                            </w:pPr>
                            <w:r w:rsidRPr="00F839B7">
                              <w:rPr>
                                <w:rFonts w:ascii="Arial" w:hAnsi="Arial" w:cs="Arial"/>
                                <w:iCs/>
                                <w:color w:val="000000" w:themeColor="text1"/>
                              </w:rPr>
                              <w:t>There are over 200 hospital transfusion laboratories within trusts across England with major challenges and concerns around the current delivery of service to support safe patient care. It is essential to define key actions with emphasis on an educated and trained workforce, with appropriate IT support working in integrated partnerships with specialist NHSBT laboratories, and across pathology networks within the principles of current NHS strategy.</w:t>
                            </w:r>
                          </w:p>
                          <w:p w14:paraId="077AFB6F" w14:textId="77777777" w:rsidR="00F839B7" w:rsidRPr="00F64DDB" w:rsidRDefault="00F839B7" w:rsidP="00F839B7">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C6236" id="Rectangle: Rounded Corners 11" o:spid="_x0000_s1027" style="position:absolute;left:0;text-align:left;margin-left:0;margin-top:206.7pt;width:693pt;height: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" fillcolor="#fbe4d5 [661]" strokecolor="#1f3763 [1604]" strokeweight="1pt">
                <v:stroke joinstyle="miter"/>
                <v:textbox>
                  <w:txbxContent>
                    <w:p w14:paraId="5D301135" w14:textId="77777777" w:rsidR="00F839B7" w:rsidRPr="00F839B7" w:rsidRDefault="00F839B7" w:rsidP="00F839B7">
                      <w:pPr>
                        <w:jc w:val="center"/>
                        <w:rPr>
                          <w:color w:val="000000" w:themeColor="text1"/>
                        </w:rPr>
                      </w:pPr>
                      <w:r w:rsidRPr="00F839B7">
                        <w:rPr>
                          <w:rFonts w:ascii="Arial" w:hAnsi="Arial" w:cs="Arial"/>
                          <w:iCs/>
                          <w:color w:val="000000" w:themeColor="text1"/>
                        </w:rPr>
                        <w:t>There are over 200 hospital transfusion laboratories within trusts across England with major challenges and concerns around the current delivery of service to support safe patient care. It is essential to define key actions with emphasis on an educated and trained workforce, with appropriate IT support working in integrated partnerships with specialist NHSBT laboratories, and across pathology networks within the principles of current NHS strategy.</w:t>
                      </w:r>
                    </w:p>
                    <w:p w14:paraId="077AFB6F" w14:textId="77777777" w:rsidR="00F839B7" w:rsidRPr="00F64DDB" w:rsidRDefault="00F839B7" w:rsidP="00F839B7">
                      <w:pPr>
                        <w:jc w:val="center"/>
                        <w:rPr>
                          <w:color w:val="000000" w:themeColor="text1"/>
                          <w:sz w:val="24"/>
                          <w:szCs w:val="24"/>
                        </w:rPr>
                      </w:pPr>
                    </w:p>
                  </w:txbxContent>
                </v:textbox>
                <w10:wrap type="topAndBottom" anchorx="margin"/>
              </v:roundrect>
            </w:pict>
          </mc:Fallback>
        </mc:AlternateContent>
      </w:r>
      <w:r>
        <w:rPr>
          <w:rFonts w:ascii="Arial" w:hAnsi="Arial" w:cs="Arial"/>
          <w:iCs/>
          <w:noProof/>
        </w:rPr>
        <mc:AlternateContent>
          <mc:Choice Requires="wps">
            <w:drawing>
              <wp:anchor distT="0" distB="0" distL="114300" distR="114300" simplePos="0" relativeHeight="251668480" behindDoc="0" locked="0" layoutInCell="1" allowOverlap="1" wp14:anchorId="7199B813" wp14:editId="224841CE">
                <wp:simplePos x="0" y="0"/>
                <wp:positionH relativeFrom="margin">
                  <wp:align>left</wp:align>
                </wp:positionH>
                <wp:positionV relativeFrom="paragraph">
                  <wp:posOffset>196850</wp:posOffset>
                </wp:positionV>
                <wp:extent cx="8801100" cy="1190625"/>
                <wp:effectExtent l="0" t="0" r="19050" b="28575"/>
                <wp:wrapTopAndBottom/>
                <wp:docPr id="8" name="Rectangle: Rounded Corners 8"/>
                <wp:cNvGraphicFramePr/>
                <a:graphic xmlns:a="http://schemas.openxmlformats.org/drawingml/2006/main">
                  <a:graphicData uri="http://schemas.microsoft.com/office/word/2010/wordprocessingShape">
                    <wps:wsp>
                      <wps:cNvSpPr/>
                      <wps:spPr>
                        <a:xfrm>
                          <a:off x="0" y="0"/>
                          <a:ext cx="8801100" cy="11906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439DD" w14:textId="21CA5082" w:rsid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r w:rsidRPr="00F839B7">
                              <w:rPr>
                                <w:rFonts w:ascii="Arial" w:hAnsi="Arial" w:cs="Arial"/>
                                <w:color w:val="000000" w:themeColor="text1"/>
                                <w:sz w:val="22"/>
                                <w:szCs w:val="22"/>
                              </w:rPr>
                              <w:t>The Transfusion 2024 plan (</w:t>
                            </w:r>
                            <w:r w:rsidRPr="00F839B7">
                              <w:rPr>
                                <w:rFonts w:ascii="Arial" w:hAnsi="Arial" w:cs="Arial"/>
                                <w:i/>
                                <w:iCs/>
                                <w:color w:val="000000" w:themeColor="text1"/>
                                <w:sz w:val="22"/>
                                <w:szCs w:val="22"/>
                              </w:rPr>
                              <w:t>Transfusion Medicine.</w:t>
                            </w:r>
                            <w:r w:rsidRPr="00F839B7">
                              <w:rPr>
                                <w:rFonts w:ascii="Arial" w:hAnsi="Arial" w:cs="Arial"/>
                                <w:color w:val="000000" w:themeColor="text1"/>
                                <w:sz w:val="22"/>
                                <w:szCs w:val="22"/>
                              </w:rPr>
                              <w:t xml:space="preserve"> 2021; 31(6): 400 – 408) outlines key priorities for clinical and laboratory transfusion practice for safe patient care across the NHS. This is based on the outcomes of a multi-professional symposium held in March 2019 organised by the National Blood Transfusion Committee (NBTC) and NHS Blood and Transplant (NHSBT). The plan builds on recommendations of previous Better Blood Transfusion Health Service Circulars with many of the </w:t>
                            </w:r>
                            <w:r w:rsidRPr="00F839B7">
                              <w:rPr>
                                <w:rFonts w:ascii="Arial" w:hAnsi="Arial" w:cs="Arial"/>
                                <w:iCs/>
                                <w:color w:val="000000" w:themeColor="text1"/>
                                <w:sz w:val="22"/>
                                <w:szCs w:val="22"/>
                              </w:rPr>
                              <w:t>actions outlined being implemented within the regulatory, training, and operational infrastructure and framework already developed within hospitals supported by the NBTC and Regional Transfusion Committees (RTCs).</w:t>
                            </w:r>
                          </w:p>
                          <w:p w14:paraId="697F3F13" w14:textId="77777777" w:rsidR="00F839B7" w:rsidRP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p>
                          <w:p w14:paraId="22CCB080" w14:textId="77777777" w:rsidR="00F839B7" w:rsidRPr="00F839B7" w:rsidRDefault="00F839B7" w:rsidP="00F839B7">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9B813" id="Rectangle: Rounded Corners 8" o:spid="_x0000_s1028" style="position:absolute;left:0;text-align:left;margin-left:0;margin-top:15.5pt;width:693pt;height:9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" fillcolor="#fbe4d5 [661]" strokecolor="#1f3763 [1604]" strokeweight="1pt">
                <v:stroke joinstyle="miter"/>
                <v:textbox>
                  <w:txbxContent>
                    <w:p w14:paraId="622439DD" w14:textId="21CA5082" w:rsid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r w:rsidRPr="00F839B7">
                        <w:rPr>
                          <w:rFonts w:ascii="Arial" w:hAnsi="Arial" w:cs="Arial"/>
                          <w:color w:val="000000" w:themeColor="text1"/>
                          <w:sz w:val="22"/>
                          <w:szCs w:val="22"/>
                        </w:rPr>
                        <w:t>The Transfusion 2024 plan (</w:t>
                      </w:r>
                      <w:r w:rsidRPr="00F839B7">
                        <w:rPr>
                          <w:rFonts w:ascii="Arial" w:hAnsi="Arial" w:cs="Arial"/>
                          <w:i/>
                          <w:iCs/>
                          <w:color w:val="000000" w:themeColor="text1"/>
                          <w:sz w:val="22"/>
                          <w:szCs w:val="22"/>
                        </w:rPr>
                        <w:t>Transfusion Medicine.</w:t>
                      </w:r>
                      <w:r w:rsidRPr="00F839B7">
                        <w:rPr>
                          <w:rFonts w:ascii="Arial" w:hAnsi="Arial" w:cs="Arial"/>
                          <w:color w:val="000000" w:themeColor="text1"/>
                          <w:sz w:val="22"/>
                          <w:szCs w:val="22"/>
                        </w:rPr>
                        <w:t xml:space="preserve"> 2021; 31(6): 400 – 408) outlines key priorities for clinical and laboratory transfusion practice for safe patient care across the NHS. This is based on the outcomes of a multi-professional symposium held in March 2019 organised by the National Blood Transfusion Committee (NBTC) and NHS Blood and Transplant (NHSBT). The plan builds on recommendations of previous Better Blood Transfusion Health Service Circulars with many of the </w:t>
                      </w:r>
                      <w:r w:rsidRPr="00F839B7">
                        <w:rPr>
                          <w:rFonts w:ascii="Arial" w:hAnsi="Arial" w:cs="Arial"/>
                          <w:iCs/>
                          <w:color w:val="000000" w:themeColor="text1"/>
                          <w:sz w:val="22"/>
                          <w:szCs w:val="22"/>
                        </w:rPr>
                        <w:t>actions outlined being implemented within the regulatory, training, and operational infrastructure and framework already developed within hospitals supported by the NBTC and Regional Transfusion Committees (RTCs).</w:t>
                      </w:r>
                    </w:p>
                    <w:p w14:paraId="697F3F13" w14:textId="77777777" w:rsidR="00F839B7" w:rsidRPr="00F839B7" w:rsidRDefault="00F839B7" w:rsidP="00F839B7">
                      <w:pPr>
                        <w:pStyle w:val="CommentText"/>
                        <w:autoSpaceDE w:val="0"/>
                        <w:autoSpaceDN w:val="0"/>
                        <w:adjustRightInd w:val="0"/>
                        <w:spacing w:after="0"/>
                        <w:jc w:val="center"/>
                        <w:rPr>
                          <w:rFonts w:ascii="Arial" w:hAnsi="Arial" w:cs="Arial"/>
                          <w:iCs/>
                          <w:color w:val="000000" w:themeColor="text1"/>
                          <w:sz w:val="22"/>
                          <w:szCs w:val="22"/>
                        </w:rPr>
                      </w:pPr>
                    </w:p>
                    <w:p w14:paraId="22CCB080" w14:textId="77777777" w:rsidR="00F839B7" w:rsidRPr="00F839B7" w:rsidRDefault="00F839B7" w:rsidP="00F839B7">
                      <w:pPr>
                        <w:jc w:val="center"/>
                        <w:rPr>
                          <w:color w:val="000000" w:themeColor="text1"/>
                          <w:sz w:val="24"/>
                          <w:szCs w:val="24"/>
                        </w:rPr>
                      </w:pPr>
                    </w:p>
                  </w:txbxContent>
                </v:textbox>
                <w10:wrap type="topAndBottom" anchorx="margin"/>
              </v:roundrect>
            </w:pict>
          </mc:Fallback>
        </mc:AlternateContent>
      </w:r>
    </w:p>
    <w:p w14:paraId="6C157E44" w14:textId="785B6A23" w:rsidR="00F839B7" w:rsidRDefault="00F839B7" w:rsidP="00B67CB5">
      <w:pPr>
        <w:pStyle w:val="CommentText"/>
        <w:autoSpaceDE w:val="0"/>
        <w:autoSpaceDN w:val="0"/>
        <w:adjustRightInd w:val="0"/>
        <w:spacing w:before="120" w:after="0"/>
        <w:jc w:val="both"/>
        <w:rPr>
          <w:rFonts w:ascii="Arial" w:hAnsi="Arial" w:cs="Arial"/>
          <w:iCs/>
          <w:sz w:val="22"/>
          <w:szCs w:val="22"/>
        </w:rPr>
      </w:pPr>
    </w:p>
    <w:p w14:paraId="75051866" w14:textId="6BA09FD6" w:rsidR="00A15DDA" w:rsidRDefault="00387390" w:rsidP="00B67CB5">
      <w:pPr>
        <w:pStyle w:val="CommentText"/>
        <w:autoSpaceDE w:val="0"/>
        <w:autoSpaceDN w:val="0"/>
        <w:adjustRightInd w:val="0"/>
        <w:spacing w:before="120" w:after="0"/>
        <w:jc w:val="both"/>
        <w:rPr>
          <w:rFonts w:ascii="Arial" w:hAnsi="Arial" w:cs="Arial"/>
          <w:iCs/>
          <w:sz w:val="22"/>
          <w:szCs w:val="22"/>
        </w:rPr>
      </w:pPr>
      <w:r w:rsidRPr="00387390">
        <w:rPr>
          <w:rFonts w:ascii="Arial" w:hAnsi="Arial" w:cs="Arial"/>
          <w:iCs/>
          <w:sz w:val="22"/>
          <w:szCs w:val="22"/>
        </w:rPr>
        <w:t xml:space="preserve">The following checklist has been developed by representatives from the NBTC and its allied groups (including National Lab Managers Group, National Transfusion Practitioners Network and Education working group), NHSBT Patient Blood Management (PBM) team, UK Transfusion </w:t>
      </w:r>
      <w:r w:rsidR="00B67CB5" w:rsidRPr="00387390">
        <w:rPr>
          <w:rFonts w:ascii="Arial" w:hAnsi="Arial" w:cs="Arial"/>
          <w:iCs/>
          <w:sz w:val="22"/>
          <w:szCs w:val="22"/>
        </w:rPr>
        <w:t xml:space="preserve">Laboratory </w:t>
      </w:r>
      <w:r w:rsidRPr="00387390">
        <w:rPr>
          <w:rFonts w:ascii="Arial" w:hAnsi="Arial" w:cs="Arial"/>
          <w:iCs/>
          <w:sz w:val="22"/>
          <w:szCs w:val="22"/>
        </w:rPr>
        <w:t>Collaborative,</w:t>
      </w:r>
      <w:r w:rsidR="00B67CB5" w:rsidRPr="00387390">
        <w:rPr>
          <w:rFonts w:ascii="Arial" w:hAnsi="Arial" w:cs="Arial"/>
          <w:iCs/>
          <w:sz w:val="22"/>
          <w:szCs w:val="22"/>
        </w:rPr>
        <w:t xml:space="preserve"> and the UK Serious Hazards of Transfusion (SHOT) Haemovigilance Scheme.</w:t>
      </w:r>
    </w:p>
    <w:p w14:paraId="7F239CF5" w14:textId="4ADB4CC9" w:rsidR="00A15DDA" w:rsidRPr="0001075E" w:rsidRDefault="00A15DDA" w:rsidP="00B67CB5">
      <w:pPr>
        <w:pStyle w:val="CommentText"/>
        <w:autoSpaceDE w:val="0"/>
        <w:autoSpaceDN w:val="0"/>
        <w:adjustRightInd w:val="0"/>
        <w:spacing w:before="120" w:after="0"/>
        <w:jc w:val="both"/>
        <w:rPr>
          <w:rFonts w:ascii="Arial" w:hAnsi="Arial" w:cs="Arial"/>
          <w:iCs/>
        </w:rPr>
      </w:pPr>
    </w:p>
    <w:tbl>
      <w:tblPr>
        <w:tblStyle w:val="TableGrid"/>
        <w:tblW w:w="13948" w:type="dxa"/>
        <w:tblLayout w:type="fixed"/>
        <w:tblLook w:val="04A0" w:firstRow="1" w:lastRow="0" w:firstColumn="1" w:lastColumn="0" w:noHBand="0" w:noVBand="1"/>
      </w:tblPr>
      <w:tblGrid>
        <w:gridCol w:w="1555"/>
        <w:gridCol w:w="2409"/>
        <w:gridCol w:w="4253"/>
        <w:gridCol w:w="4353"/>
        <w:gridCol w:w="1378"/>
      </w:tblGrid>
      <w:tr w:rsidR="00B67CB5" w:rsidRPr="0001075E" w14:paraId="6F0BBD9F" w14:textId="77777777" w:rsidTr="00313ED6">
        <w:tc>
          <w:tcPr>
            <w:tcW w:w="13948" w:type="dxa"/>
            <w:gridSpan w:val="5"/>
          </w:tcPr>
          <w:p w14:paraId="072D470F" w14:textId="77777777" w:rsidR="00B67CB5" w:rsidRPr="0001075E" w:rsidRDefault="00B67CB5" w:rsidP="002F1570">
            <w:pPr>
              <w:rPr>
                <w:rFonts w:ascii="Arial" w:hAnsi="Arial" w:cs="Arial"/>
                <w:b/>
                <w:bCs/>
                <w:sz w:val="28"/>
                <w:szCs w:val="28"/>
              </w:rPr>
            </w:pPr>
            <w:r w:rsidRPr="0001075E">
              <w:rPr>
                <w:rFonts w:ascii="Arial" w:hAnsi="Arial" w:cs="Arial"/>
                <w:b/>
                <w:bCs/>
                <w:sz w:val="28"/>
                <w:szCs w:val="28"/>
              </w:rPr>
              <w:lastRenderedPageBreak/>
              <w:t>Patient Blood Management</w:t>
            </w:r>
          </w:p>
        </w:tc>
      </w:tr>
      <w:tr w:rsidR="00B67CB5" w:rsidRPr="0001075E" w14:paraId="3758D283" w14:textId="77777777" w:rsidTr="00A32BB8">
        <w:tc>
          <w:tcPr>
            <w:tcW w:w="1555" w:type="dxa"/>
          </w:tcPr>
          <w:p w14:paraId="30767F4A" w14:textId="77777777" w:rsidR="00B67CB5" w:rsidRPr="0001075E" w:rsidRDefault="00B67CB5" w:rsidP="002F1570">
            <w:pPr>
              <w:rPr>
                <w:rFonts w:ascii="Arial" w:hAnsi="Arial" w:cs="Arial"/>
              </w:rPr>
            </w:pPr>
          </w:p>
        </w:tc>
        <w:tc>
          <w:tcPr>
            <w:tcW w:w="2409" w:type="dxa"/>
          </w:tcPr>
          <w:p w14:paraId="4CFDFD8B" w14:textId="77777777" w:rsidR="00B67CB5" w:rsidRPr="0001075E" w:rsidRDefault="00B67CB5" w:rsidP="002F1570">
            <w:pPr>
              <w:rPr>
                <w:rFonts w:ascii="Arial" w:hAnsi="Arial" w:cs="Arial"/>
              </w:rPr>
            </w:pPr>
            <w:r w:rsidRPr="0001075E">
              <w:rPr>
                <w:rFonts w:ascii="Arial" w:hAnsi="Arial" w:cs="Arial"/>
                <w:color w:val="000000"/>
                <w:sz w:val="20"/>
                <w:szCs w:val="20"/>
              </w:rPr>
              <w:t>Outcomes</w:t>
            </w:r>
          </w:p>
        </w:tc>
        <w:tc>
          <w:tcPr>
            <w:tcW w:w="4253" w:type="dxa"/>
          </w:tcPr>
          <w:p w14:paraId="46F49829" w14:textId="77777777" w:rsidR="00B67CB5" w:rsidRPr="0001075E" w:rsidRDefault="00B67CB5" w:rsidP="002F1570">
            <w:pPr>
              <w:rPr>
                <w:rFonts w:ascii="Arial" w:hAnsi="Arial" w:cs="Arial"/>
              </w:rPr>
            </w:pPr>
            <w:r w:rsidRPr="0001075E">
              <w:rPr>
                <w:rFonts w:ascii="Arial" w:hAnsi="Arial" w:cs="Arial"/>
              </w:rPr>
              <w:t>Tools &amp; Resources</w:t>
            </w:r>
          </w:p>
        </w:tc>
        <w:tc>
          <w:tcPr>
            <w:tcW w:w="4353" w:type="dxa"/>
          </w:tcPr>
          <w:p w14:paraId="307E2E7E" w14:textId="77777777" w:rsidR="00B67CB5" w:rsidRPr="0001075E" w:rsidRDefault="00B67CB5" w:rsidP="002F1570">
            <w:pPr>
              <w:rPr>
                <w:rFonts w:ascii="Arial" w:hAnsi="Arial" w:cs="Arial"/>
              </w:rPr>
            </w:pPr>
            <w:r w:rsidRPr="0001075E">
              <w:rPr>
                <w:rFonts w:ascii="Arial" w:hAnsi="Arial" w:cs="Arial"/>
              </w:rPr>
              <w:t>Actions for hospitals</w:t>
            </w:r>
          </w:p>
        </w:tc>
        <w:tc>
          <w:tcPr>
            <w:tcW w:w="1378" w:type="dxa"/>
          </w:tcPr>
          <w:p w14:paraId="73CA6A31" w14:textId="77777777" w:rsidR="00B67CB5" w:rsidRPr="0001075E" w:rsidRDefault="00B67CB5" w:rsidP="002F1570">
            <w:pPr>
              <w:rPr>
                <w:rFonts w:ascii="Arial" w:hAnsi="Arial" w:cs="Arial"/>
              </w:rPr>
            </w:pPr>
            <w:r w:rsidRPr="0001075E">
              <w:rPr>
                <w:rFonts w:ascii="Arial" w:hAnsi="Arial" w:cs="Arial"/>
              </w:rPr>
              <w:t>Compliance</w:t>
            </w:r>
          </w:p>
        </w:tc>
      </w:tr>
      <w:tr w:rsidR="00B67CB5" w:rsidRPr="0001075E" w14:paraId="1A29B263" w14:textId="77777777" w:rsidTr="00A32BB8">
        <w:trPr>
          <w:trHeight w:val="736"/>
        </w:trPr>
        <w:tc>
          <w:tcPr>
            <w:tcW w:w="1555" w:type="dxa"/>
            <w:vMerge w:val="restart"/>
          </w:tcPr>
          <w:p w14:paraId="6590B70A" w14:textId="77777777" w:rsidR="00B67CB5" w:rsidRPr="0001075E" w:rsidRDefault="00B67CB5" w:rsidP="00A15DDA">
            <w:pPr>
              <w:spacing w:line="259" w:lineRule="auto"/>
              <w:rPr>
                <w:rFonts w:ascii="Arial" w:eastAsiaTheme="minorEastAsia" w:hAnsi="Arial" w:cs="Arial"/>
                <w:b/>
                <w:bCs/>
                <w:color w:val="000000" w:themeColor="text1"/>
                <w:sz w:val="20"/>
                <w:szCs w:val="20"/>
              </w:rPr>
            </w:pPr>
            <w:r w:rsidRPr="0001075E">
              <w:rPr>
                <w:rFonts w:ascii="Arial" w:eastAsiaTheme="minorEastAsia" w:hAnsi="Arial" w:cs="Arial"/>
                <w:b/>
                <w:bCs/>
                <w:color w:val="000000" w:themeColor="text1"/>
                <w:sz w:val="20"/>
                <w:szCs w:val="20"/>
              </w:rPr>
              <w:t>Self -assessment</w:t>
            </w:r>
          </w:p>
          <w:p w14:paraId="7BCAF776" w14:textId="24CA7F56" w:rsidR="00313ED6" w:rsidRPr="0001075E" w:rsidRDefault="00B67CB5" w:rsidP="00A15DDA">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Develop a transfusion practice self-assessment tool to allow </w:t>
            </w:r>
            <w:r w:rsidR="00313ED6" w:rsidRPr="0001075E">
              <w:rPr>
                <w:rFonts w:ascii="Arial" w:eastAsiaTheme="minorEastAsia" w:hAnsi="Arial" w:cs="Arial"/>
                <w:color w:val="000000" w:themeColor="text1"/>
                <w:sz w:val="20"/>
                <w:szCs w:val="20"/>
              </w:rPr>
              <w:t>benchmarking.</w:t>
            </w:r>
            <w:r w:rsidRPr="0001075E">
              <w:rPr>
                <w:rFonts w:ascii="Arial" w:eastAsiaTheme="minorEastAsia" w:hAnsi="Arial" w:cs="Arial"/>
                <w:color w:val="000000" w:themeColor="text1"/>
                <w:sz w:val="20"/>
                <w:szCs w:val="20"/>
              </w:rPr>
              <w:t xml:space="preserve"> </w:t>
            </w:r>
          </w:p>
        </w:tc>
        <w:tc>
          <w:tcPr>
            <w:tcW w:w="2409" w:type="dxa"/>
            <w:vMerge w:val="restart"/>
          </w:tcPr>
          <w:p w14:paraId="34845B3C" w14:textId="77777777" w:rsidR="00B67CB5" w:rsidRPr="0001075E" w:rsidRDefault="00B67CB5" w:rsidP="00A15DDA">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Develop a tool for self-assessment by hospitals/trusts with plan for pilot and rollout.</w:t>
            </w:r>
          </w:p>
          <w:p w14:paraId="54ACDFE4" w14:textId="7724C867" w:rsidR="00B67CB5" w:rsidRDefault="00B67CB5" w:rsidP="00A15DDA">
            <w:pPr>
              <w:spacing w:line="259" w:lineRule="auto"/>
              <w:rPr>
                <w:rFonts w:ascii="Arial" w:eastAsiaTheme="minorEastAsia" w:hAnsi="Arial" w:cs="Arial"/>
                <w:color w:val="000000" w:themeColor="text1"/>
                <w:sz w:val="20"/>
                <w:szCs w:val="20"/>
              </w:rPr>
            </w:pPr>
          </w:p>
          <w:p w14:paraId="59291752" w14:textId="77777777" w:rsidR="00A32BB8" w:rsidRPr="0001075E" w:rsidRDefault="00A32BB8" w:rsidP="00A15DDA">
            <w:pPr>
              <w:spacing w:line="259" w:lineRule="auto"/>
              <w:rPr>
                <w:rFonts w:ascii="Arial" w:eastAsiaTheme="minorEastAsia" w:hAnsi="Arial" w:cs="Arial"/>
                <w:color w:val="000000" w:themeColor="text1"/>
                <w:sz w:val="20"/>
                <w:szCs w:val="20"/>
              </w:rPr>
            </w:pPr>
          </w:p>
          <w:p w14:paraId="07161888" w14:textId="77777777" w:rsidR="00B67CB5" w:rsidRPr="0001075E" w:rsidRDefault="00B67CB5" w:rsidP="00A15DDA">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To include compliance with NICE Quality Standards for Transfusion.</w:t>
            </w:r>
          </w:p>
          <w:p w14:paraId="75B7BFB1" w14:textId="77777777" w:rsidR="00B67CB5" w:rsidRPr="0001075E" w:rsidRDefault="00B67CB5" w:rsidP="00A15DDA">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*Pilot work with Model Hospital in progress</w:t>
            </w:r>
          </w:p>
        </w:tc>
        <w:tc>
          <w:tcPr>
            <w:tcW w:w="4253" w:type="dxa"/>
            <w:vMerge w:val="restart"/>
          </w:tcPr>
          <w:p w14:paraId="2541E289" w14:textId="77777777" w:rsidR="00B67CB5" w:rsidRPr="0001075E" w:rsidRDefault="00000000" w:rsidP="00A15DDA">
            <w:pPr>
              <w:rPr>
                <w:rFonts w:ascii="Arial" w:hAnsi="Arial" w:cs="Arial"/>
                <w:color w:val="000000" w:themeColor="text1"/>
                <w:sz w:val="20"/>
                <w:szCs w:val="20"/>
              </w:rPr>
            </w:pPr>
            <w:hyperlink r:id="rId7">
              <w:r w:rsidR="00B67CB5" w:rsidRPr="0001075E">
                <w:rPr>
                  <w:rStyle w:val="Hyperlink"/>
                  <w:rFonts w:ascii="Arial" w:hAnsi="Arial" w:cs="Arial"/>
                  <w:sz w:val="20"/>
                  <w:szCs w:val="20"/>
                </w:rPr>
                <w:t>PBM Toolkit</w:t>
              </w:r>
            </w:hyperlink>
            <w:r w:rsidR="00B67CB5" w:rsidRPr="0001075E">
              <w:rPr>
                <w:rFonts w:ascii="Arial" w:hAnsi="Arial" w:cs="Arial"/>
                <w:color w:val="000000" w:themeColor="text1"/>
                <w:sz w:val="20"/>
                <w:szCs w:val="20"/>
              </w:rPr>
              <w:t xml:space="preserve"> </w:t>
            </w:r>
          </w:p>
          <w:p w14:paraId="6B9C77B6" w14:textId="77777777" w:rsidR="00B67CB5" w:rsidRPr="0001075E" w:rsidRDefault="00000000" w:rsidP="00A15DDA">
            <w:pPr>
              <w:rPr>
                <w:rFonts w:ascii="Arial" w:hAnsi="Arial" w:cs="Arial"/>
                <w:sz w:val="20"/>
                <w:szCs w:val="20"/>
              </w:rPr>
            </w:pPr>
            <w:hyperlink r:id="rId8">
              <w:r w:rsidR="00B67CB5" w:rsidRPr="0001075E">
                <w:rPr>
                  <w:rStyle w:val="Hyperlink"/>
                  <w:rFonts w:ascii="Arial" w:hAnsi="Arial" w:cs="Arial"/>
                  <w:sz w:val="20"/>
                  <w:szCs w:val="20"/>
                </w:rPr>
                <w:t>Pre-op anaemia toolkit</w:t>
              </w:r>
            </w:hyperlink>
            <w:r w:rsidR="00B67CB5" w:rsidRPr="0001075E">
              <w:rPr>
                <w:rFonts w:ascii="Arial" w:hAnsi="Arial" w:cs="Arial"/>
                <w:color w:val="000000" w:themeColor="text1"/>
                <w:sz w:val="20"/>
                <w:szCs w:val="20"/>
              </w:rPr>
              <w:t xml:space="preserve"> </w:t>
            </w:r>
          </w:p>
          <w:p w14:paraId="6CA96811" w14:textId="77777777" w:rsidR="00B67CB5" w:rsidRPr="0001075E" w:rsidRDefault="00000000" w:rsidP="00A15DDA">
            <w:pPr>
              <w:rPr>
                <w:rFonts w:ascii="Arial" w:hAnsi="Arial" w:cs="Arial"/>
                <w:color w:val="000000" w:themeColor="text1"/>
                <w:sz w:val="20"/>
                <w:szCs w:val="20"/>
              </w:rPr>
            </w:pPr>
            <w:hyperlink r:id="rId9">
              <w:r w:rsidR="00B67CB5" w:rsidRPr="0001075E">
                <w:rPr>
                  <w:rStyle w:val="Hyperlink"/>
                  <w:rFonts w:ascii="Arial" w:hAnsi="Arial" w:cs="Arial"/>
                  <w:sz w:val="20"/>
                  <w:szCs w:val="20"/>
                </w:rPr>
                <w:t>Vein to Vein Blood Transfusion Processes Guidance</w:t>
              </w:r>
            </w:hyperlink>
            <w:r w:rsidR="00B67CB5" w:rsidRPr="0001075E">
              <w:rPr>
                <w:rFonts w:ascii="Arial" w:hAnsi="Arial" w:cs="Arial"/>
                <w:color w:val="000000" w:themeColor="text1"/>
                <w:sz w:val="20"/>
                <w:szCs w:val="20"/>
              </w:rPr>
              <w:t xml:space="preserve"> </w:t>
            </w:r>
          </w:p>
          <w:p w14:paraId="39B47045" w14:textId="77777777" w:rsidR="00B67CB5" w:rsidRPr="0001075E" w:rsidRDefault="00000000" w:rsidP="00A15DDA">
            <w:pPr>
              <w:rPr>
                <w:rStyle w:val="Hyperlink"/>
                <w:rFonts w:ascii="Arial" w:hAnsi="Arial" w:cs="Arial"/>
                <w:sz w:val="20"/>
                <w:szCs w:val="20"/>
              </w:rPr>
            </w:pPr>
            <w:hyperlink r:id="rId10">
              <w:r w:rsidR="00B67CB5" w:rsidRPr="0001075E">
                <w:rPr>
                  <w:rStyle w:val="Hyperlink"/>
                  <w:rFonts w:ascii="Arial" w:hAnsi="Arial" w:cs="Arial"/>
                  <w:sz w:val="20"/>
                  <w:szCs w:val="20"/>
                </w:rPr>
                <w:t>Vein to Vein Data Collection Tools</w:t>
              </w:r>
            </w:hyperlink>
          </w:p>
          <w:p w14:paraId="75218E18" w14:textId="77777777" w:rsidR="000A6CC1" w:rsidRPr="0001075E" w:rsidRDefault="00000000" w:rsidP="00A15DDA">
            <w:pPr>
              <w:rPr>
                <w:rFonts w:ascii="Arial" w:hAnsi="Arial" w:cs="Arial"/>
                <w:sz w:val="20"/>
                <w:szCs w:val="20"/>
              </w:rPr>
            </w:pPr>
            <w:hyperlink r:id="rId11" w:history="1">
              <w:r w:rsidR="000A6CC1" w:rsidRPr="0001075E">
                <w:rPr>
                  <w:rStyle w:val="Hyperlink"/>
                  <w:rFonts w:ascii="Arial" w:hAnsi="Arial" w:cs="Arial"/>
                  <w:sz w:val="20"/>
                  <w:szCs w:val="20"/>
                </w:rPr>
                <w:t>2021 Survey of Patient Blood Management</w:t>
              </w:r>
            </w:hyperlink>
          </w:p>
          <w:p w14:paraId="5E463386" w14:textId="77777777" w:rsidR="00A62C91" w:rsidRPr="0001075E" w:rsidRDefault="00A62C91" w:rsidP="00A15DDA">
            <w:pPr>
              <w:rPr>
                <w:rFonts w:ascii="Arial" w:hAnsi="Arial" w:cs="Arial"/>
                <w:color w:val="000000" w:themeColor="text1"/>
                <w:sz w:val="20"/>
                <w:szCs w:val="20"/>
              </w:rPr>
            </w:pPr>
          </w:p>
          <w:p w14:paraId="3A0A4432" w14:textId="0B1BF1B3" w:rsidR="00313ED6" w:rsidRPr="00313ED6" w:rsidRDefault="00000000" w:rsidP="00313ED6">
            <w:pPr>
              <w:rPr>
                <w:rFonts w:ascii="Arial" w:hAnsi="Arial" w:cs="Arial"/>
                <w:color w:val="0563C1" w:themeColor="hyperlink"/>
                <w:sz w:val="20"/>
                <w:szCs w:val="20"/>
                <w:u w:val="single"/>
              </w:rPr>
            </w:pPr>
            <w:hyperlink r:id="rId12" w:history="1">
              <w:r w:rsidR="00D9729C" w:rsidRPr="0001075E">
                <w:rPr>
                  <w:rStyle w:val="Hyperlink"/>
                  <w:rFonts w:ascii="Arial" w:hAnsi="Arial" w:cs="Arial"/>
                  <w:sz w:val="20"/>
                  <w:szCs w:val="20"/>
                </w:rPr>
                <w:t>QS138 Quality Insights Audit Tool - Hospitals and Science - NHSBT (blood.co.uk)</w:t>
              </w:r>
            </w:hyperlink>
            <w:r w:rsidR="00313ED6">
              <w:rPr>
                <w:rFonts w:ascii="Arial" w:hAnsi="Arial" w:cs="Arial"/>
                <w:sz w:val="20"/>
                <w:szCs w:val="20"/>
              </w:rPr>
              <w:tab/>
            </w:r>
          </w:p>
        </w:tc>
        <w:tc>
          <w:tcPr>
            <w:tcW w:w="4353" w:type="dxa"/>
          </w:tcPr>
          <w:p w14:paraId="36E6FAEC" w14:textId="51564C37" w:rsidR="00B67CB5" w:rsidRDefault="00B67CB5" w:rsidP="00A15DDA">
            <w:pPr>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Review results and act on recommendations of 2021 National Comparative Audit PBM national survey</w:t>
            </w:r>
          </w:p>
          <w:p w14:paraId="76B6AB33" w14:textId="77777777" w:rsidR="00387390" w:rsidRPr="0001075E" w:rsidRDefault="00387390" w:rsidP="00A15DDA">
            <w:pPr>
              <w:rPr>
                <w:rFonts w:ascii="Arial" w:hAnsi="Arial" w:cs="Arial"/>
                <w:color w:val="000000" w:themeColor="text1"/>
                <w:sz w:val="20"/>
                <w:szCs w:val="20"/>
              </w:rPr>
            </w:pPr>
          </w:p>
          <w:p w14:paraId="454686EB" w14:textId="77777777" w:rsidR="00B67CB5" w:rsidRDefault="00000000" w:rsidP="00A15DDA">
            <w:pPr>
              <w:rPr>
                <w:rStyle w:val="Hyperlink"/>
                <w:rFonts w:ascii="Arial" w:hAnsi="Arial" w:cs="Arial"/>
                <w:sz w:val="20"/>
                <w:szCs w:val="20"/>
              </w:rPr>
            </w:pPr>
            <w:hyperlink r:id="rId13" w:history="1">
              <w:r w:rsidR="000A6CC1" w:rsidRPr="0001075E">
                <w:rPr>
                  <w:rStyle w:val="Hyperlink"/>
                  <w:rFonts w:ascii="Arial" w:hAnsi="Arial" w:cs="Arial"/>
                  <w:sz w:val="20"/>
                  <w:szCs w:val="20"/>
                </w:rPr>
                <w:t>National Comparative Audit reports</w:t>
              </w:r>
            </w:hyperlink>
          </w:p>
          <w:p w14:paraId="2F12B406" w14:textId="77777777" w:rsidR="00A32BB8" w:rsidRDefault="00A32BB8" w:rsidP="00A15DDA">
            <w:pPr>
              <w:rPr>
                <w:rFonts w:ascii="Arial" w:hAnsi="Arial" w:cs="Arial"/>
                <w:color w:val="0563C1" w:themeColor="hyperlink"/>
                <w:sz w:val="20"/>
                <w:szCs w:val="20"/>
                <w:u w:val="single"/>
              </w:rPr>
            </w:pPr>
          </w:p>
          <w:p w14:paraId="48226796" w14:textId="18708107" w:rsidR="00A32BB8" w:rsidRPr="0001075E" w:rsidRDefault="00A32BB8" w:rsidP="00A15DDA">
            <w:pPr>
              <w:rPr>
                <w:rFonts w:ascii="Arial" w:hAnsi="Arial" w:cs="Arial"/>
                <w:color w:val="0563C1" w:themeColor="hyperlink"/>
                <w:sz w:val="20"/>
                <w:szCs w:val="20"/>
                <w:u w:val="single"/>
              </w:rPr>
            </w:pPr>
          </w:p>
        </w:tc>
        <w:tc>
          <w:tcPr>
            <w:tcW w:w="1378" w:type="dxa"/>
          </w:tcPr>
          <w:p w14:paraId="6AECD163" w14:textId="77777777" w:rsidR="00B67CB5" w:rsidRPr="0001075E" w:rsidRDefault="00B67CB5" w:rsidP="00A15DDA">
            <w:pPr>
              <w:rPr>
                <w:rFonts w:ascii="Arial" w:hAnsi="Arial" w:cs="Arial"/>
              </w:rPr>
            </w:pPr>
          </w:p>
        </w:tc>
      </w:tr>
      <w:tr w:rsidR="00313ED6" w:rsidRPr="0001075E" w14:paraId="3C694E8C" w14:textId="77777777" w:rsidTr="00A32BB8">
        <w:trPr>
          <w:trHeight w:val="1311"/>
        </w:trPr>
        <w:tc>
          <w:tcPr>
            <w:tcW w:w="1555" w:type="dxa"/>
            <w:vMerge/>
          </w:tcPr>
          <w:p w14:paraId="16551E62" w14:textId="77777777" w:rsidR="00313ED6" w:rsidRPr="0001075E" w:rsidRDefault="00313ED6" w:rsidP="00A15DDA">
            <w:pPr>
              <w:rPr>
                <w:rFonts w:ascii="Arial" w:eastAsiaTheme="minorEastAsia" w:hAnsi="Arial" w:cs="Arial"/>
                <w:b/>
                <w:bCs/>
                <w:color w:val="000000" w:themeColor="text1"/>
                <w:sz w:val="20"/>
                <w:szCs w:val="20"/>
              </w:rPr>
            </w:pPr>
          </w:p>
        </w:tc>
        <w:tc>
          <w:tcPr>
            <w:tcW w:w="2409" w:type="dxa"/>
            <w:vMerge/>
          </w:tcPr>
          <w:p w14:paraId="5A7B6360" w14:textId="77777777" w:rsidR="00313ED6" w:rsidRPr="0001075E" w:rsidRDefault="00313ED6" w:rsidP="00A15DDA">
            <w:pPr>
              <w:rPr>
                <w:rFonts w:ascii="Arial" w:eastAsiaTheme="minorEastAsia" w:hAnsi="Arial" w:cs="Arial"/>
                <w:color w:val="000000" w:themeColor="text1"/>
                <w:sz w:val="20"/>
                <w:szCs w:val="20"/>
              </w:rPr>
            </w:pPr>
          </w:p>
        </w:tc>
        <w:tc>
          <w:tcPr>
            <w:tcW w:w="4253" w:type="dxa"/>
            <w:vMerge/>
          </w:tcPr>
          <w:p w14:paraId="4AA0488B" w14:textId="77777777" w:rsidR="00313ED6" w:rsidRPr="0001075E" w:rsidRDefault="00313ED6" w:rsidP="00A15DDA">
            <w:pPr>
              <w:rPr>
                <w:rFonts w:ascii="Arial" w:hAnsi="Arial" w:cs="Arial"/>
              </w:rPr>
            </w:pPr>
          </w:p>
        </w:tc>
        <w:tc>
          <w:tcPr>
            <w:tcW w:w="4353" w:type="dxa"/>
          </w:tcPr>
          <w:p w14:paraId="020BE134" w14:textId="3D4A5442" w:rsidR="00313ED6" w:rsidRPr="0001075E" w:rsidRDefault="00313ED6" w:rsidP="00A15DDA">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Recommend QS138 Insights Audit Tool as a hospital/trust CI initiative</w:t>
            </w:r>
          </w:p>
        </w:tc>
        <w:tc>
          <w:tcPr>
            <w:tcW w:w="1378" w:type="dxa"/>
          </w:tcPr>
          <w:p w14:paraId="1CCB402A" w14:textId="77777777" w:rsidR="00313ED6" w:rsidRPr="0001075E" w:rsidRDefault="00313ED6" w:rsidP="00A15DDA">
            <w:pPr>
              <w:rPr>
                <w:rFonts w:ascii="Arial" w:hAnsi="Arial" w:cs="Arial"/>
              </w:rPr>
            </w:pPr>
          </w:p>
        </w:tc>
      </w:tr>
      <w:tr w:rsidR="00B67CB5" w:rsidRPr="0001075E" w14:paraId="416436E7" w14:textId="77777777" w:rsidTr="00C97E1E">
        <w:trPr>
          <w:trHeight w:val="1117"/>
        </w:trPr>
        <w:tc>
          <w:tcPr>
            <w:tcW w:w="1555" w:type="dxa"/>
            <w:vMerge/>
          </w:tcPr>
          <w:p w14:paraId="4CAD3756" w14:textId="77777777" w:rsidR="00B67CB5" w:rsidRPr="0001075E" w:rsidRDefault="00B67CB5" w:rsidP="00A15DDA">
            <w:pPr>
              <w:rPr>
                <w:rFonts w:ascii="Arial" w:hAnsi="Arial" w:cs="Arial"/>
              </w:rPr>
            </w:pPr>
          </w:p>
        </w:tc>
        <w:tc>
          <w:tcPr>
            <w:tcW w:w="2409" w:type="dxa"/>
            <w:vMerge/>
          </w:tcPr>
          <w:p w14:paraId="2C30C100" w14:textId="77777777" w:rsidR="00B67CB5" w:rsidRPr="0001075E" w:rsidRDefault="00B67CB5" w:rsidP="00A15DDA">
            <w:pPr>
              <w:rPr>
                <w:rFonts w:ascii="Arial" w:hAnsi="Arial" w:cs="Arial"/>
              </w:rPr>
            </w:pPr>
          </w:p>
        </w:tc>
        <w:tc>
          <w:tcPr>
            <w:tcW w:w="4253" w:type="dxa"/>
            <w:vMerge/>
          </w:tcPr>
          <w:p w14:paraId="6568DFE9" w14:textId="77777777" w:rsidR="00B67CB5" w:rsidRPr="0001075E" w:rsidRDefault="00B67CB5" w:rsidP="00A15DDA">
            <w:pPr>
              <w:rPr>
                <w:rFonts w:ascii="Arial" w:hAnsi="Arial" w:cs="Arial"/>
                <w:color w:val="000000"/>
                <w:sz w:val="20"/>
                <w:szCs w:val="20"/>
              </w:rPr>
            </w:pPr>
          </w:p>
        </w:tc>
        <w:tc>
          <w:tcPr>
            <w:tcW w:w="4353" w:type="dxa"/>
          </w:tcPr>
          <w:p w14:paraId="0362CF5B" w14:textId="5C1BBE98" w:rsidR="00B67CB5" w:rsidRDefault="00B67CB5" w:rsidP="00A15DDA">
            <w:pPr>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Active participation in the Blood Stocks Management Scheme (BSMS) </w:t>
            </w:r>
          </w:p>
          <w:p w14:paraId="2F6BB046" w14:textId="77777777" w:rsidR="00387390" w:rsidRPr="0001075E" w:rsidRDefault="00387390" w:rsidP="00A15DDA">
            <w:pPr>
              <w:rPr>
                <w:rFonts w:ascii="Arial" w:hAnsi="Arial" w:cs="Arial"/>
                <w:color w:val="000000" w:themeColor="text1"/>
                <w:sz w:val="20"/>
                <w:szCs w:val="20"/>
              </w:rPr>
            </w:pPr>
          </w:p>
          <w:p w14:paraId="680F27C0" w14:textId="4E77E93E" w:rsidR="00A15DDA" w:rsidRPr="00313ED6" w:rsidRDefault="00A32BB8" w:rsidP="00A15DDA">
            <w:pPr>
              <w:rPr>
                <w:rFonts w:ascii="Arial" w:hAnsi="Arial" w:cs="Arial"/>
                <w:color w:val="000000" w:themeColor="text1"/>
                <w:sz w:val="20"/>
                <w:szCs w:val="20"/>
              </w:rPr>
            </w:pPr>
            <w:hyperlink r:id="rId14" w:history="1">
              <w:r w:rsidRPr="003F3B80">
                <w:rPr>
                  <w:rStyle w:val="Hyperlink"/>
                  <w:rFonts w:ascii="Arial" w:hAnsi="Arial" w:cs="Arial"/>
                  <w:sz w:val="20"/>
                  <w:szCs w:val="20"/>
                </w:rPr>
                <w:t>https://www.bloodstocks.co.uk/</w:t>
              </w:r>
            </w:hyperlink>
          </w:p>
        </w:tc>
        <w:tc>
          <w:tcPr>
            <w:tcW w:w="1378" w:type="dxa"/>
          </w:tcPr>
          <w:p w14:paraId="39D1D1A3" w14:textId="33554630" w:rsidR="00B67CB5" w:rsidRPr="0001075E" w:rsidRDefault="00B67CB5" w:rsidP="00A15DDA">
            <w:pPr>
              <w:rPr>
                <w:rFonts w:ascii="Arial" w:hAnsi="Arial" w:cs="Arial"/>
              </w:rPr>
            </w:pPr>
          </w:p>
        </w:tc>
      </w:tr>
      <w:tr w:rsidR="00B67CB5" w:rsidRPr="0001075E" w14:paraId="15DEAC51" w14:textId="77777777" w:rsidTr="00A32BB8">
        <w:trPr>
          <w:trHeight w:val="1155"/>
        </w:trPr>
        <w:tc>
          <w:tcPr>
            <w:tcW w:w="1555" w:type="dxa"/>
            <w:vMerge w:val="restart"/>
          </w:tcPr>
          <w:p w14:paraId="3C9B09D8" w14:textId="02974391" w:rsidR="00B67CB5" w:rsidRPr="0001075E" w:rsidRDefault="00B67CB5" w:rsidP="002F1570">
            <w:pPr>
              <w:spacing w:line="259" w:lineRule="auto"/>
              <w:rPr>
                <w:rFonts w:ascii="Arial" w:eastAsiaTheme="minorEastAsia" w:hAnsi="Arial" w:cs="Arial"/>
                <w:b/>
                <w:bCs/>
                <w:color w:val="000000" w:themeColor="text1"/>
                <w:sz w:val="20"/>
                <w:szCs w:val="20"/>
              </w:rPr>
            </w:pPr>
            <w:r w:rsidRPr="0001075E">
              <w:rPr>
                <w:rFonts w:ascii="Arial" w:eastAsiaTheme="minorEastAsia" w:hAnsi="Arial" w:cs="Arial"/>
                <w:b/>
                <w:bCs/>
                <w:color w:val="000000" w:themeColor="text1"/>
                <w:sz w:val="20"/>
                <w:szCs w:val="20"/>
              </w:rPr>
              <w:t xml:space="preserve">Resources to support clinical transfusion </w:t>
            </w:r>
            <w:r w:rsidR="00A32BB8" w:rsidRPr="0001075E">
              <w:rPr>
                <w:rFonts w:ascii="Arial" w:eastAsiaTheme="minorEastAsia" w:hAnsi="Arial" w:cs="Arial"/>
                <w:b/>
                <w:bCs/>
                <w:color w:val="000000" w:themeColor="text1"/>
                <w:sz w:val="20"/>
                <w:szCs w:val="20"/>
              </w:rPr>
              <w:t>practice.</w:t>
            </w:r>
          </w:p>
          <w:p w14:paraId="22D579B7" w14:textId="77777777" w:rsidR="00B67CB5" w:rsidRPr="0001075E" w:rsidRDefault="00B67CB5" w:rsidP="002F1570">
            <w:pPr>
              <w:spacing w:line="259" w:lineRule="auto"/>
              <w:rPr>
                <w:rFonts w:ascii="Arial" w:eastAsiaTheme="minorEastAsia" w:hAnsi="Arial" w:cs="Arial"/>
                <w:b/>
                <w:bCs/>
                <w:color w:val="000000" w:themeColor="text1"/>
                <w:sz w:val="20"/>
                <w:szCs w:val="20"/>
              </w:rPr>
            </w:pPr>
          </w:p>
          <w:p w14:paraId="72AB1793" w14:textId="77777777" w:rsidR="00B67CB5" w:rsidRPr="0001075E" w:rsidRDefault="00B67CB5" w:rsidP="002F1570">
            <w:pPr>
              <w:rPr>
                <w:rFonts w:ascii="Arial" w:hAnsi="Arial" w:cs="Arial"/>
                <w:b/>
                <w:bCs/>
                <w:color w:val="000000" w:themeColor="text1"/>
                <w:sz w:val="20"/>
                <w:szCs w:val="20"/>
              </w:rPr>
            </w:pPr>
          </w:p>
          <w:p w14:paraId="28B46827" w14:textId="77777777" w:rsidR="00B67CB5" w:rsidRPr="0001075E" w:rsidRDefault="00B67CB5" w:rsidP="002F1570">
            <w:pPr>
              <w:rPr>
                <w:rFonts w:ascii="Arial" w:hAnsi="Arial" w:cs="Arial"/>
              </w:rPr>
            </w:pPr>
          </w:p>
        </w:tc>
        <w:tc>
          <w:tcPr>
            <w:tcW w:w="2409" w:type="dxa"/>
          </w:tcPr>
          <w:p w14:paraId="4767E0B8" w14:textId="77777777" w:rsidR="00B67CB5" w:rsidRDefault="00B67CB5" w:rsidP="002F1570">
            <w:pPr>
              <w:pStyle w:val="Pa7"/>
              <w:spacing w:after="40"/>
              <w:rPr>
                <w:rFonts w:ascii="Arial" w:hAnsi="Arial" w:cs="Arial"/>
                <w:color w:val="000000" w:themeColor="text1"/>
                <w:sz w:val="20"/>
                <w:szCs w:val="20"/>
              </w:rPr>
            </w:pPr>
            <w:r w:rsidRPr="0001075E">
              <w:rPr>
                <w:rFonts w:ascii="Arial" w:hAnsi="Arial" w:cs="Arial"/>
                <w:color w:val="000000" w:themeColor="text1"/>
                <w:sz w:val="20"/>
                <w:szCs w:val="20"/>
              </w:rPr>
              <w:t>Define minimum recommended levels of transfusion practitioner staffing and other resources for Hospital Transfusion Teams.</w:t>
            </w:r>
          </w:p>
          <w:p w14:paraId="2C0C5C7D" w14:textId="0007D44B" w:rsidR="00A32BB8" w:rsidRPr="00A32BB8" w:rsidRDefault="00A32BB8" w:rsidP="00A32BB8"/>
        </w:tc>
        <w:tc>
          <w:tcPr>
            <w:tcW w:w="4253" w:type="dxa"/>
          </w:tcPr>
          <w:p w14:paraId="7144E35A" w14:textId="18763DC6" w:rsidR="00B67CB5" w:rsidRPr="0001075E" w:rsidRDefault="00000000" w:rsidP="002F1570">
            <w:pPr>
              <w:rPr>
                <w:rFonts w:ascii="Arial" w:hAnsi="Arial" w:cs="Arial"/>
                <w:sz w:val="20"/>
                <w:szCs w:val="20"/>
              </w:rPr>
            </w:pPr>
            <w:hyperlink r:id="rId15" w:history="1">
              <w:r w:rsidR="00B67CB5" w:rsidRPr="0001075E">
                <w:rPr>
                  <w:rStyle w:val="Hyperlink"/>
                  <w:rFonts w:ascii="Arial" w:hAnsi="Arial" w:cs="Arial"/>
                  <w:sz w:val="20"/>
                  <w:szCs w:val="20"/>
                </w:rPr>
                <w:t>2021 Survey of Patient Blood Management</w:t>
              </w:r>
            </w:hyperlink>
          </w:p>
          <w:p w14:paraId="7AD2D985" w14:textId="77777777" w:rsidR="00B67CB5" w:rsidRPr="0001075E" w:rsidRDefault="00000000" w:rsidP="002F1570">
            <w:pPr>
              <w:rPr>
                <w:rFonts w:ascii="Arial" w:hAnsi="Arial" w:cs="Arial"/>
                <w:color w:val="000000" w:themeColor="text1"/>
                <w:sz w:val="20"/>
                <w:szCs w:val="20"/>
              </w:rPr>
            </w:pPr>
            <w:hyperlink r:id="rId16">
              <w:r w:rsidR="00B67CB5" w:rsidRPr="0001075E">
                <w:rPr>
                  <w:rStyle w:val="Hyperlink"/>
                  <w:rFonts w:ascii="Arial" w:hAnsi="Arial" w:cs="Arial"/>
                  <w:sz w:val="20"/>
                  <w:szCs w:val="20"/>
                </w:rPr>
                <w:t>2018 Survey of Patient Blood Management</w:t>
              </w:r>
            </w:hyperlink>
          </w:p>
          <w:p w14:paraId="05EFBDD4" w14:textId="77777777" w:rsidR="00B67CB5" w:rsidRPr="0001075E" w:rsidRDefault="00000000" w:rsidP="002F1570">
            <w:pPr>
              <w:rPr>
                <w:rFonts w:ascii="Arial" w:hAnsi="Arial" w:cs="Arial"/>
                <w:color w:val="000000" w:themeColor="text1"/>
                <w:sz w:val="20"/>
                <w:szCs w:val="20"/>
              </w:rPr>
            </w:pPr>
            <w:hyperlink r:id="rId17">
              <w:r w:rsidR="00B67CB5" w:rsidRPr="0001075E">
                <w:rPr>
                  <w:rStyle w:val="Hyperlink"/>
                  <w:rFonts w:ascii="Arial" w:hAnsi="Arial" w:cs="Arial"/>
                  <w:sz w:val="20"/>
                  <w:szCs w:val="20"/>
                </w:rPr>
                <w:t>2015 Survey of Patient Blood Management</w:t>
              </w:r>
            </w:hyperlink>
          </w:p>
          <w:p w14:paraId="595220E4" w14:textId="77777777" w:rsidR="00B67CB5" w:rsidRPr="0001075E" w:rsidRDefault="00000000" w:rsidP="002F1570">
            <w:pPr>
              <w:rPr>
                <w:rFonts w:ascii="Arial" w:hAnsi="Arial" w:cs="Arial"/>
                <w:color w:val="000000" w:themeColor="text1"/>
                <w:sz w:val="20"/>
                <w:szCs w:val="20"/>
              </w:rPr>
            </w:pPr>
            <w:hyperlink r:id="rId18">
              <w:r w:rsidR="00B67CB5" w:rsidRPr="0001075E">
                <w:rPr>
                  <w:rStyle w:val="Hyperlink"/>
                  <w:rFonts w:ascii="Arial" w:hAnsi="Arial" w:cs="Arial"/>
                  <w:sz w:val="20"/>
                  <w:szCs w:val="20"/>
                </w:rPr>
                <w:t>2013 Survey of Patient Blood Management</w:t>
              </w:r>
            </w:hyperlink>
          </w:p>
          <w:p w14:paraId="3EC4B17B" w14:textId="77777777" w:rsidR="00B67CB5" w:rsidRPr="0001075E" w:rsidRDefault="00B67CB5" w:rsidP="002F1570">
            <w:pPr>
              <w:rPr>
                <w:rFonts w:ascii="Arial" w:hAnsi="Arial" w:cs="Arial"/>
                <w:color w:val="000000" w:themeColor="text1"/>
                <w:sz w:val="20"/>
                <w:szCs w:val="20"/>
              </w:rPr>
            </w:pPr>
          </w:p>
        </w:tc>
        <w:tc>
          <w:tcPr>
            <w:tcW w:w="4353" w:type="dxa"/>
          </w:tcPr>
          <w:p w14:paraId="1AD98FAE" w14:textId="58D2BFD5" w:rsidR="00B67CB5" w:rsidRDefault="00B67CB5" w:rsidP="002F1570">
            <w:pPr>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Review results and act on recommendations of 2021 National Comparative Audit Patient Blood Management survey</w:t>
            </w:r>
            <w:r w:rsidR="00007E5B" w:rsidRPr="0001075E">
              <w:rPr>
                <w:rFonts w:ascii="Arial" w:eastAsiaTheme="minorEastAsia" w:hAnsi="Arial" w:cs="Arial"/>
                <w:color w:val="000000" w:themeColor="text1"/>
                <w:sz w:val="20"/>
                <w:szCs w:val="20"/>
              </w:rPr>
              <w:t xml:space="preserve"> </w:t>
            </w:r>
          </w:p>
          <w:p w14:paraId="28163568" w14:textId="77777777" w:rsidR="00387390" w:rsidRPr="0001075E" w:rsidRDefault="00387390" w:rsidP="002F1570">
            <w:pPr>
              <w:rPr>
                <w:rFonts w:ascii="Arial" w:hAnsi="Arial" w:cs="Arial"/>
                <w:color w:val="000000" w:themeColor="text1"/>
                <w:sz w:val="20"/>
                <w:szCs w:val="20"/>
              </w:rPr>
            </w:pPr>
          </w:p>
          <w:p w14:paraId="0E07E85E" w14:textId="40353897" w:rsidR="00007E5B" w:rsidRPr="0001075E" w:rsidRDefault="00000000" w:rsidP="002F1570">
            <w:pPr>
              <w:rPr>
                <w:rStyle w:val="Hyperlink"/>
                <w:rFonts w:ascii="Arial" w:hAnsi="Arial" w:cs="Arial"/>
                <w:sz w:val="20"/>
                <w:szCs w:val="20"/>
              </w:rPr>
            </w:pPr>
            <w:hyperlink r:id="rId19" w:history="1">
              <w:r w:rsidR="000A6CC1" w:rsidRPr="0001075E">
                <w:rPr>
                  <w:rStyle w:val="Hyperlink"/>
                  <w:rFonts w:ascii="Arial" w:hAnsi="Arial" w:cs="Arial"/>
                  <w:sz w:val="20"/>
                  <w:szCs w:val="20"/>
                </w:rPr>
                <w:t>National Comparative Audit reports</w:t>
              </w:r>
            </w:hyperlink>
          </w:p>
          <w:p w14:paraId="21949D9D" w14:textId="77777777" w:rsidR="00B67CB5" w:rsidRPr="0001075E" w:rsidRDefault="00B67CB5" w:rsidP="002F1570">
            <w:pPr>
              <w:rPr>
                <w:rFonts w:ascii="Arial" w:hAnsi="Arial" w:cs="Arial"/>
                <w:color w:val="0563C1" w:themeColor="hyperlink"/>
                <w:sz w:val="20"/>
                <w:szCs w:val="20"/>
                <w:u w:val="single"/>
              </w:rPr>
            </w:pPr>
          </w:p>
        </w:tc>
        <w:tc>
          <w:tcPr>
            <w:tcW w:w="1378" w:type="dxa"/>
          </w:tcPr>
          <w:p w14:paraId="5D6F6766" w14:textId="77777777" w:rsidR="00B67CB5" w:rsidRPr="0001075E" w:rsidRDefault="00B67CB5" w:rsidP="002F1570">
            <w:pPr>
              <w:rPr>
                <w:rFonts w:ascii="Arial" w:hAnsi="Arial" w:cs="Arial"/>
              </w:rPr>
            </w:pPr>
          </w:p>
        </w:tc>
      </w:tr>
      <w:tr w:rsidR="00B67CB5" w:rsidRPr="0001075E" w14:paraId="233410F8" w14:textId="77777777" w:rsidTr="00A32BB8">
        <w:trPr>
          <w:trHeight w:val="855"/>
        </w:trPr>
        <w:tc>
          <w:tcPr>
            <w:tcW w:w="1555" w:type="dxa"/>
            <w:vMerge/>
          </w:tcPr>
          <w:p w14:paraId="1A85675C" w14:textId="77777777" w:rsidR="00B67CB5" w:rsidRPr="0001075E" w:rsidRDefault="00B67CB5" w:rsidP="002F1570">
            <w:pPr>
              <w:pStyle w:val="Pa7"/>
              <w:spacing w:after="40"/>
              <w:rPr>
                <w:rFonts w:ascii="Arial" w:hAnsi="Arial" w:cs="Arial"/>
                <w:b/>
                <w:bCs/>
                <w:color w:val="000000"/>
                <w:sz w:val="20"/>
                <w:szCs w:val="20"/>
              </w:rPr>
            </w:pPr>
          </w:p>
        </w:tc>
        <w:tc>
          <w:tcPr>
            <w:tcW w:w="2409" w:type="dxa"/>
            <w:vMerge w:val="restart"/>
          </w:tcPr>
          <w:p w14:paraId="0ADAF64A" w14:textId="6BC8B34A" w:rsidR="00B67CB5" w:rsidRPr="0001075E" w:rsidRDefault="00B67CB5" w:rsidP="002F1570">
            <w:pPr>
              <w:pStyle w:val="Pa7"/>
              <w:spacing w:after="40"/>
              <w:rPr>
                <w:rFonts w:ascii="Arial" w:hAnsi="Arial" w:cs="Arial"/>
                <w:color w:val="000000"/>
                <w:sz w:val="20"/>
                <w:szCs w:val="20"/>
              </w:rPr>
            </w:pPr>
            <w:r w:rsidRPr="0001075E">
              <w:rPr>
                <w:rFonts w:ascii="Arial" w:hAnsi="Arial" w:cs="Arial"/>
                <w:color w:val="000000"/>
                <w:sz w:val="20"/>
                <w:szCs w:val="20"/>
              </w:rPr>
              <w:t xml:space="preserve">NHSBT to review and strengthen support for clinical transfusion practice (including PBM teams, the National </w:t>
            </w:r>
            <w:r w:rsidRPr="0001075E">
              <w:rPr>
                <w:rFonts w:ascii="Arial" w:hAnsi="Arial" w:cs="Arial"/>
                <w:color w:val="000000"/>
                <w:sz w:val="20"/>
                <w:szCs w:val="20"/>
              </w:rPr>
              <w:lastRenderedPageBreak/>
              <w:t>Comparative Audit programme</w:t>
            </w:r>
            <w:r w:rsidR="00E54E23" w:rsidRPr="0001075E">
              <w:rPr>
                <w:rFonts w:ascii="Arial" w:hAnsi="Arial" w:cs="Arial"/>
                <w:color w:val="000000"/>
                <w:sz w:val="20"/>
                <w:szCs w:val="20"/>
              </w:rPr>
              <w:t>,</w:t>
            </w:r>
            <w:r w:rsidRPr="0001075E">
              <w:rPr>
                <w:rFonts w:ascii="Arial" w:hAnsi="Arial" w:cs="Arial"/>
                <w:color w:val="000000"/>
                <w:sz w:val="20"/>
                <w:szCs w:val="20"/>
              </w:rPr>
              <w:t xml:space="preserve"> and Blood Stocks Management Scheme).</w:t>
            </w:r>
          </w:p>
          <w:p w14:paraId="0D271B66" w14:textId="77777777" w:rsidR="00B67CB5" w:rsidRPr="0001075E" w:rsidRDefault="00B67CB5" w:rsidP="002F1570">
            <w:pPr>
              <w:pStyle w:val="Pa7"/>
              <w:spacing w:after="40"/>
              <w:rPr>
                <w:rFonts w:ascii="Arial" w:hAnsi="Arial" w:cs="Arial"/>
                <w:color w:val="000000"/>
                <w:sz w:val="20"/>
                <w:szCs w:val="20"/>
              </w:rPr>
            </w:pPr>
          </w:p>
        </w:tc>
        <w:tc>
          <w:tcPr>
            <w:tcW w:w="4253" w:type="dxa"/>
            <w:vMerge w:val="restart"/>
          </w:tcPr>
          <w:p w14:paraId="3052D978" w14:textId="77777777" w:rsidR="00B67CB5" w:rsidRPr="0001075E" w:rsidRDefault="00B67CB5" w:rsidP="002F1570">
            <w:pPr>
              <w:rPr>
                <w:rFonts w:ascii="Arial" w:hAnsi="Arial" w:cs="Arial"/>
                <w:color w:val="000000"/>
                <w:sz w:val="20"/>
                <w:szCs w:val="20"/>
              </w:rPr>
            </w:pPr>
            <w:r w:rsidRPr="0001075E">
              <w:rPr>
                <w:rFonts w:ascii="Arial" w:hAnsi="Arial" w:cs="Arial"/>
                <w:color w:val="000000" w:themeColor="text1"/>
                <w:sz w:val="20"/>
                <w:szCs w:val="20"/>
              </w:rPr>
              <w:lastRenderedPageBreak/>
              <w:t>NHSBT/NBTC education and transfusion resources</w:t>
            </w:r>
          </w:p>
          <w:p w14:paraId="756D9A05" w14:textId="77777777" w:rsidR="00B67CB5" w:rsidRPr="0001075E" w:rsidRDefault="00B67CB5" w:rsidP="002F1570">
            <w:pPr>
              <w:rPr>
                <w:rFonts w:ascii="Arial" w:hAnsi="Arial" w:cs="Arial"/>
                <w:color w:val="000000"/>
                <w:sz w:val="20"/>
                <w:szCs w:val="20"/>
              </w:rPr>
            </w:pPr>
          </w:p>
          <w:p w14:paraId="08BAB252" w14:textId="77777777" w:rsidR="00B67CB5" w:rsidRPr="0001075E" w:rsidRDefault="00000000" w:rsidP="002F1570">
            <w:pPr>
              <w:rPr>
                <w:rFonts w:ascii="Arial" w:hAnsi="Arial" w:cs="Arial"/>
                <w:color w:val="000000" w:themeColor="text1"/>
                <w:sz w:val="20"/>
                <w:szCs w:val="20"/>
              </w:rPr>
            </w:pPr>
            <w:hyperlink r:id="rId20">
              <w:r w:rsidR="00B67CB5" w:rsidRPr="0001075E">
                <w:rPr>
                  <w:rStyle w:val="Hyperlink"/>
                  <w:rFonts w:ascii="Arial" w:hAnsi="Arial" w:cs="Arial"/>
                  <w:sz w:val="20"/>
                  <w:szCs w:val="20"/>
                </w:rPr>
                <w:t>PBM website</w:t>
              </w:r>
            </w:hyperlink>
          </w:p>
          <w:p w14:paraId="5F51B47E" w14:textId="2160713C" w:rsidR="00A32BB8" w:rsidRDefault="00000000" w:rsidP="002F1570">
            <w:pPr>
              <w:rPr>
                <w:rStyle w:val="Hyperlink"/>
                <w:rFonts w:ascii="Arial" w:hAnsi="Arial" w:cs="Arial"/>
                <w:sz w:val="20"/>
                <w:szCs w:val="20"/>
              </w:rPr>
            </w:pPr>
            <w:hyperlink r:id="rId21">
              <w:r w:rsidR="00B67CB5" w:rsidRPr="0001075E">
                <w:rPr>
                  <w:rStyle w:val="Hyperlink"/>
                  <w:rFonts w:ascii="Arial" w:hAnsi="Arial" w:cs="Arial"/>
                  <w:sz w:val="20"/>
                  <w:szCs w:val="20"/>
                </w:rPr>
                <w:t>JPAC website</w:t>
              </w:r>
            </w:hyperlink>
          </w:p>
          <w:p w14:paraId="0BE4C94A" w14:textId="7EE62160" w:rsidR="00A32BB8" w:rsidRDefault="00A32BB8" w:rsidP="002F1570">
            <w:pPr>
              <w:rPr>
                <w:rStyle w:val="Hyperlink"/>
              </w:rPr>
            </w:pPr>
            <w:hyperlink r:id="rId22" w:history="1">
              <w:r w:rsidRPr="00A32BB8">
                <w:rPr>
                  <w:rStyle w:val="Hyperlink"/>
                </w:rPr>
                <w:t>NBTC we</w:t>
              </w:r>
              <w:r w:rsidRPr="00A32BB8">
                <w:rPr>
                  <w:rStyle w:val="Hyperlink"/>
                </w:rPr>
                <w:t>b</w:t>
              </w:r>
              <w:r w:rsidRPr="00A32BB8">
                <w:rPr>
                  <w:rStyle w:val="Hyperlink"/>
                </w:rPr>
                <w:t>site</w:t>
              </w:r>
            </w:hyperlink>
          </w:p>
          <w:p w14:paraId="5D9B6924" w14:textId="77777777" w:rsidR="00A32BB8" w:rsidRPr="00A32BB8" w:rsidRDefault="00A32BB8" w:rsidP="002F1570">
            <w:pPr>
              <w:rPr>
                <w:rFonts w:ascii="Arial" w:hAnsi="Arial" w:cs="Arial"/>
                <w:color w:val="0563C1" w:themeColor="hyperlink"/>
                <w:sz w:val="20"/>
                <w:szCs w:val="20"/>
                <w:u w:val="single"/>
              </w:rPr>
            </w:pPr>
          </w:p>
          <w:p w14:paraId="29AF8B3C" w14:textId="2E1D814A" w:rsidR="00B67CB5" w:rsidRDefault="00000000" w:rsidP="002F1570">
            <w:pPr>
              <w:rPr>
                <w:rStyle w:val="Hyperlink"/>
                <w:rFonts w:ascii="Arial" w:hAnsi="Arial" w:cs="Arial"/>
                <w:sz w:val="20"/>
                <w:szCs w:val="20"/>
              </w:rPr>
            </w:pPr>
            <w:hyperlink r:id="rId23">
              <w:r w:rsidR="00B67CB5" w:rsidRPr="0001075E">
                <w:rPr>
                  <w:rStyle w:val="Hyperlink"/>
                  <w:rFonts w:ascii="Arial" w:hAnsi="Arial" w:cs="Arial"/>
                  <w:sz w:val="20"/>
                  <w:szCs w:val="20"/>
                </w:rPr>
                <w:t>National Comparative Audit website</w:t>
              </w:r>
            </w:hyperlink>
          </w:p>
          <w:p w14:paraId="3CF5CD59" w14:textId="77777777" w:rsidR="00A32BB8" w:rsidRPr="0001075E" w:rsidRDefault="00A32BB8" w:rsidP="002F1570">
            <w:pPr>
              <w:rPr>
                <w:rFonts w:ascii="Arial" w:hAnsi="Arial" w:cs="Arial"/>
                <w:color w:val="000000"/>
                <w:sz w:val="20"/>
                <w:szCs w:val="20"/>
              </w:rPr>
            </w:pPr>
          </w:p>
          <w:p w14:paraId="4E7D488C" w14:textId="3CD3A487" w:rsidR="00B67CB5" w:rsidRDefault="00000000" w:rsidP="002F1570">
            <w:pPr>
              <w:rPr>
                <w:rStyle w:val="Hyperlink"/>
                <w:rFonts w:ascii="Arial" w:hAnsi="Arial" w:cs="Arial"/>
                <w:sz w:val="20"/>
                <w:szCs w:val="20"/>
              </w:rPr>
            </w:pPr>
            <w:hyperlink r:id="rId24">
              <w:r w:rsidR="00B67CB5" w:rsidRPr="0001075E">
                <w:rPr>
                  <w:rStyle w:val="Hyperlink"/>
                  <w:rFonts w:ascii="Arial" w:hAnsi="Arial" w:cs="Arial"/>
                  <w:sz w:val="20"/>
                  <w:szCs w:val="20"/>
                </w:rPr>
                <w:t>Blood Stocks Management Scheme website</w:t>
              </w:r>
            </w:hyperlink>
          </w:p>
          <w:p w14:paraId="1E5B96AD" w14:textId="77777777" w:rsidR="00A32BB8" w:rsidRPr="0001075E" w:rsidRDefault="00A32BB8" w:rsidP="002F1570">
            <w:pPr>
              <w:rPr>
                <w:rFonts w:ascii="Arial" w:hAnsi="Arial" w:cs="Arial"/>
                <w:sz w:val="20"/>
                <w:szCs w:val="20"/>
              </w:rPr>
            </w:pPr>
          </w:p>
          <w:p w14:paraId="22CC6B4A" w14:textId="3AB03733" w:rsidR="00C706AA" w:rsidRDefault="00000000" w:rsidP="00C706AA">
            <w:pPr>
              <w:rPr>
                <w:rStyle w:val="Hyperlink"/>
                <w:rFonts w:ascii="Arial" w:hAnsi="Arial" w:cs="Arial"/>
                <w:sz w:val="20"/>
                <w:szCs w:val="20"/>
              </w:rPr>
            </w:pPr>
            <w:hyperlink r:id="rId25" w:history="1">
              <w:r w:rsidR="00A15DDA" w:rsidRPr="0001075E">
                <w:rPr>
                  <w:rStyle w:val="Hyperlink"/>
                  <w:rFonts w:ascii="Arial" w:hAnsi="Arial" w:cs="Arial"/>
                  <w:sz w:val="20"/>
                  <w:szCs w:val="20"/>
                </w:rPr>
                <w:t>RTC /N</w:t>
              </w:r>
              <w:r w:rsidR="00A15DDA" w:rsidRPr="0001075E">
                <w:rPr>
                  <w:rStyle w:val="Hyperlink"/>
                  <w:rFonts w:ascii="Arial" w:hAnsi="Arial" w:cs="Arial"/>
                  <w:sz w:val="20"/>
                  <w:szCs w:val="20"/>
                </w:rPr>
                <w:t>B</w:t>
              </w:r>
              <w:r w:rsidR="00A15DDA" w:rsidRPr="0001075E">
                <w:rPr>
                  <w:rStyle w:val="Hyperlink"/>
                  <w:rFonts w:ascii="Arial" w:hAnsi="Arial" w:cs="Arial"/>
                  <w:sz w:val="20"/>
                  <w:szCs w:val="20"/>
                </w:rPr>
                <w:t xml:space="preserve">TC education programme </w:t>
              </w:r>
            </w:hyperlink>
          </w:p>
          <w:p w14:paraId="15427CE4" w14:textId="77777777" w:rsidR="00A32BB8" w:rsidRPr="0001075E" w:rsidRDefault="00A32BB8" w:rsidP="00C706AA">
            <w:pPr>
              <w:rPr>
                <w:rFonts w:ascii="Arial" w:hAnsi="Arial" w:cs="Arial"/>
                <w:color w:val="000000"/>
                <w:sz w:val="20"/>
                <w:szCs w:val="20"/>
              </w:rPr>
            </w:pPr>
          </w:p>
          <w:p w14:paraId="561B2669" w14:textId="32BDF6BE" w:rsidR="00B67CB5" w:rsidRDefault="00000000" w:rsidP="002F1570">
            <w:pPr>
              <w:rPr>
                <w:rStyle w:val="Hyperlink"/>
                <w:rFonts w:ascii="Arial" w:hAnsi="Arial" w:cs="Arial"/>
                <w:sz w:val="20"/>
                <w:szCs w:val="20"/>
              </w:rPr>
            </w:pPr>
            <w:hyperlink r:id="rId26">
              <w:r w:rsidR="00B67CB5" w:rsidRPr="0001075E">
                <w:rPr>
                  <w:rStyle w:val="Hyperlink"/>
                  <w:rFonts w:ascii="Arial" w:hAnsi="Arial" w:cs="Arial"/>
                  <w:sz w:val="20"/>
                  <w:szCs w:val="20"/>
                </w:rPr>
                <w:t>NHSBT clinical courses/eLearning</w:t>
              </w:r>
            </w:hyperlink>
          </w:p>
          <w:p w14:paraId="3CAFAE8A" w14:textId="77777777" w:rsidR="00A32BB8" w:rsidRPr="0001075E" w:rsidRDefault="00A32BB8" w:rsidP="002F1570">
            <w:pPr>
              <w:rPr>
                <w:rFonts w:ascii="Arial" w:hAnsi="Arial" w:cs="Arial"/>
                <w:color w:val="000000"/>
                <w:sz w:val="20"/>
                <w:szCs w:val="20"/>
              </w:rPr>
            </w:pPr>
          </w:p>
          <w:p w14:paraId="6A9D5EA9" w14:textId="77777777" w:rsidR="00B67CB5" w:rsidRPr="0001075E" w:rsidRDefault="00000000" w:rsidP="002F1570">
            <w:pPr>
              <w:rPr>
                <w:rFonts w:ascii="Arial" w:hAnsi="Arial" w:cs="Arial"/>
                <w:color w:val="000000"/>
                <w:sz w:val="20"/>
                <w:szCs w:val="20"/>
              </w:rPr>
            </w:pPr>
            <w:hyperlink r:id="rId27">
              <w:r w:rsidR="00B67CB5" w:rsidRPr="0001075E">
                <w:rPr>
                  <w:rStyle w:val="Hyperlink"/>
                  <w:rFonts w:ascii="Arial" w:hAnsi="Arial" w:cs="Arial"/>
                  <w:sz w:val="20"/>
                  <w:szCs w:val="20"/>
                </w:rPr>
                <w:t>NHSBT non-medical authorisation of blood components course</w:t>
              </w:r>
            </w:hyperlink>
          </w:p>
          <w:p w14:paraId="32457567" w14:textId="77777777" w:rsidR="00B67CB5" w:rsidRPr="0001075E" w:rsidRDefault="00B67CB5" w:rsidP="002F1570">
            <w:pPr>
              <w:rPr>
                <w:rFonts w:ascii="Arial" w:hAnsi="Arial" w:cs="Arial"/>
                <w:color w:val="000000" w:themeColor="text1"/>
                <w:sz w:val="20"/>
                <w:szCs w:val="20"/>
              </w:rPr>
            </w:pPr>
          </w:p>
          <w:p w14:paraId="2DB5BB7F" w14:textId="77777777" w:rsidR="00B67CB5" w:rsidRPr="0001075E" w:rsidRDefault="00B67CB5" w:rsidP="002F1570">
            <w:pPr>
              <w:rPr>
                <w:rFonts w:ascii="Arial" w:hAnsi="Arial" w:cs="Arial"/>
                <w:color w:val="000000" w:themeColor="text1"/>
                <w:sz w:val="20"/>
                <w:szCs w:val="20"/>
              </w:rPr>
            </w:pPr>
          </w:p>
          <w:p w14:paraId="036A06F3" w14:textId="7BF68F73" w:rsidR="00B67CB5" w:rsidRPr="0001075E" w:rsidRDefault="00000000" w:rsidP="002F1570">
            <w:pPr>
              <w:rPr>
                <w:rFonts w:ascii="Arial" w:hAnsi="Arial" w:cs="Arial"/>
                <w:color w:val="000000"/>
                <w:sz w:val="20"/>
                <w:szCs w:val="20"/>
              </w:rPr>
            </w:pPr>
            <w:hyperlink r:id="rId28" w:history="1">
              <w:r w:rsidR="00CC57E1" w:rsidRPr="0001075E">
                <w:rPr>
                  <w:rStyle w:val="Hyperlink"/>
                  <w:rFonts w:ascii="Arial" w:hAnsi="Arial" w:cs="Arial"/>
                  <w:sz w:val="20"/>
                  <w:szCs w:val="20"/>
                </w:rPr>
                <w:t>HTC Cha</w:t>
              </w:r>
              <w:r w:rsidR="00CC57E1" w:rsidRPr="0001075E">
                <w:rPr>
                  <w:rStyle w:val="Hyperlink"/>
                  <w:rFonts w:ascii="Arial" w:hAnsi="Arial" w:cs="Arial"/>
                  <w:sz w:val="20"/>
                  <w:szCs w:val="20"/>
                </w:rPr>
                <w:t>i</w:t>
              </w:r>
              <w:r w:rsidR="00CC57E1" w:rsidRPr="0001075E">
                <w:rPr>
                  <w:rStyle w:val="Hyperlink"/>
                  <w:rFonts w:ascii="Arial" w:hAnsi="Arial" w:cs="Arial"/>
                  <w:sz w:val="20"/>
                  <w:szCs w:val="20"/>
                </w:rPr>
                <w:t>rs toolkit</w:t>
              </w:r>
            </w:hyperlink>
          </w:p>
        </w:tc>
        <w:tc>
          <w:tcPr>
            <w:tcW w:w="4353" w:type="dxa"/>
          </w:tcPr>
          <w:p w14:paraId="159940E4" w14:textId="77777777" w:rsidR="00B67CB5" w:rsidRPr="0001075E" w:rsidRDefault="00B67CB5" w:rsidP="002F1570">
            <w:pPr>
              <w:rPr>
                <w:rFonts w:ascii="Arial" w:hAnsi="Arial" w:cs="Arial"/>
                <w:color w:val="000000" w:themeColor="text1"/>
                <w:sz w:val="20"/>
                <w:szCs w:val="20"/>
              </w:rPr>
            </w:pPr>
            <w:r w:rsidRPr="0001075E">
              <w:rPr>
                <w:rFonts w:ascii="Arial" w:eastAsiaTheme="minorEastAsia" w:hAnsi="Arial" w:cs="Arial"/>
                <w:color w:val="000000" w:themeColor="text1"/>
                <w:sz w:val="20"/>
                <w:szCs w:val="20"/>
              </w:rPr>
              <w:lastRenderedPageBreak/>
              <w:t xml:space="preserve">Include PBM as standard agenda item at Hospital Transfusion Team/Hospital </w:t>
            </w:r>
          </w:p>
          <w:p w14:paraId="335B2F8A" w14:textId="77777777" w:rsidR="00B67CB5" w:rsidRPr="0001075E" w:rsidRDefault="00B67CB5" w:rsidP="002F1570">
            <w:pPr>
              <w:rPr>
                <w:rFonts w:ascii="Arial" w:hAnsi="Arial" w:cs="Arial"/>
                <w:color w:val="000000" w:themeColor="text1"/>
                <w:sz w:val="20"/>
                <w:szCs w:val="20"/>
              </w:rPr>
            </w:pPr>
            <w:r w:rsidRPr="0001075E">
              <w:rPr>
                <w:rFonts w:ascii="Arial" w:eastAsiaTheme="minorEastAsia" w:hAnsi="Arial" w:cs="Arial"/>
                <w:color w:val="000000" w:themeColor="text1"/>
                <w:sz w:val="20"/>
                <w:szCs w:val="20"/>
              </w:rPr>
              <w:t>Transfusion Committee meetings</w:t>
            </w:r>
          </w:p>
        </w:tc>
        <w:tc>
          <w:tcPr>
            <w:tcW w:w="1378" w:type="dxa"/>
          </w:tcPr>
          <w:p w14:paraId="4C3B8A43" w14:textId="77777777" w:rsidR="00B67CB5" w:rsidRPr="0001075E" w:rsidRDefault="00B67CB5" w:rsidP="002F1570">
            <w:pPr>
              <w:rPr>
                <w:rFonts w:ascii="Arial" w:hAnsi="Arial" w:cs="Arial"/>
              </w:rPr>
            </w:pPr>
          </w:p>
        </w:tc>
      </w:tr>
      <w:tr w:rsidR="00B67CB5" w:rsidRPr="0001075E" w14:paraId="78EE261A" w14:textId="77777777" w:rsidTr="00A32BB8">
        <w:tc>
          <w:tcPr>
            <w:tcW w:w="1555" w:type="dxa"/>
            <w:vMerge/>
          </w:tcPr>
          <w:p w14:paraId="1F7BD1C3" w14:textId="77777777" w:rsidR="00B67CB5" w:rsidRPr="0001075E" w:rsidRDefault="00B67CB5" w:rsidP="002F1570">
            <w:pPr>
              <w:rPr>
                <w:rFonts w:ascii="Arial" w:hAnsi="Arial" w:cs="Arial"/>
              </w:rPr>
            </w:pPr>
          </w:p>
        </w:tc>
        <w:tc>
          <w:tcPr>
            <w:tcW w:w="2409" w:type="dxa"/>
            <w:vMerge/>
          </w:tcPr>
          <w:p w14:paraId="6C2AED3E" w14:textId="77777777" w:rsidR="00B67CB5" w:rsidRPr="0001075E" w:rsidRDefault="00B67CB5" w:rsidP="002F1570">
            <w:pPr>
              <w:rPr>
                <w:rFonts w:ascii="Arial" w:hAnsi="Arial" w:cs="Arial"/>
              </w:rPr>
            </w:pPr>
          </w:p>
        </w:tc>
        <w:tc>
          <w:tcPr>
            <w:tcW w:w="4253" w:type="dxa"/>
            <w:vMerge/>
          </w:tcPr>
          <w:p w14:paraId="45DC67B2" w14:textId="77777777" w:rsidR="00B67CB5" w:rsidRPr="0001075E" w:rsidRDefault="00B67CB5" w:rsidP="002F1570">
            <w:pPr>
              <w:rPr>
                <w:rFonts w:ascii="Arial" w:hAnsi="Arial" w:cs="Arial"/>
              </w:rPr>
            </w:pPr>
          </w:p>
        </w:tc>
        <w:tc>
          <w:tcPr>
            <w:tcW w:w="4353" w:type="dxa"/>
          </w:tcPr>
          <w:p w14:paraId="33830164" w14:textId="77A69622" w:rsidR="00B67CB5" w:rsidRPr="0001075E"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Contact local PBM/HCS/BSMS </w:t>
            </w:r>
            <w:r w:rsidR="00313ED6" w:rsidRPr="0001075E">
              <w:rPr>
                <w:rFonts w:ascii="Arial" w:eastAsiaTheme="minorEastAsia" w:hAnsi="Arial" w:cs="Arial"/>
                <w:color w:val="000000" w:themeColor="text1"/>
                <w:sz w:val="20"/>
                <w:szCs w:val="20"/>
              </w:rPr>
              <w:t>representatives.</w:t>
            </w:r>
          </w:p>
          <w:p w14:paraId="39192C08" w14:textId="77777777" w:rsidR="00B67CB5" w:rsidRDefault="00B67CB5" w:rsidP="002F1570">
            <w:pPr>
              <w:spacing w:line="259" w:lineRule="auto"/>
              <w:rPr>
                <w:rStyle w:val="Hyperlink"/>
                <w:rFonts w:ascii="Arial" w:hAnsi="Arial" w:cs="Arial"/>
                <w:sz w:val="20"/>
                <w:szCs w:val="20"/>
              </w:rPr>
            </w:pPr>
            <w:r w:rsidRPr="0001075E">
              <w:rPr>
                <w:rFonts w:ascii="Arial" w:eastAsiaTheme="minorEastAsia" w:hAnsi="Arial" w:cs="Arial"/>
                <w:color w:val="000000" w:themeColor="text1"/>
                <w:sz w:val="20"/>
                <w:szCs w:val="20"/>
              </w:rPr>
              <w:lastRenderedPageBreak/>
              <w:t xml:space="preserve">Contact </w:t>
            </w:r>
            <w:hyperlink r:id="rId29">
              <w:r w:rsidRPr="0001075E">
                <w:rPr>
                  <w:rStyle w:val="Hyperlink"/>
                  <w:rFonts w:ascii="Arial" w:hAnsi="Arial" w:cs="Arial"/>
                  <w:sz w:val="20"/>
                  <w:szCs w:val="20"/>
                </w:rPr>
                <w:t>nhsbtcustomerservice@nhsbt.nhs.uk</w:t>
              </w:r>
            </w:hyperlink>
          </w:p>
          <w:p w14:paraId="43D9181E" w14:textId="1CF333DB" w:rsidR="00A32BB8" w:rsidRPr="0001075E" w:rsidRDefault="00A32BB8" w:rsidP="002F1570">
            <w:pPr>
              <w:spacing w:line="259" w:lineRule="auto"/>
              <w:rPr>
                <w:rFonts w:ascii="Arial" w:hAnsi="Arial" w:cs="Arial"/>
                <w:color w:val="000000" w:themeColor="text1"/>
                <w:sz w:val="20"/>
                <w:szCs w:val="20"/>
              </w:rPr>
            </w:pPr>
          </w:p>
        </w:tc>
        <w:tc>
          <w:tcPr>
            <w:tcW w:w="1378" w:type="dxa"/>
          </w:tcPr>
          <w:p w14:paraId="7A7F18FA" w14:textId="77777777" w:rsidR="00B67CB5" w:rsidRPr="0001075E" w:rsidRDefault="00B67CB5" w:rsidP="002F1570">
            <w:pPr>
              <w:rPr>
                <w:rFonts w:ascii="Arial" w:hAnsi="Arial" w:cs="Arial"/>
              </w:rPr>
            </w:pPr>
          </w:p>
        </w:tc>
      </w:tr>
      <w:tr w:rsidR="00B67CB5" w:rsidRPr="0001075E" w14:paraId="076404D3" w14:textId="77777777" w:rsidTr="00A32BB8">
        <w:tc>
          <w:tcPr>
            <w:tcW w:w="1555" w:type="dxa"/>
            <w:vMerge/>
          </w:tcPr>
          <w:p w14:paraId="6338BA3D" w14:textId="77777777" w:rsidR="00B67CB5" w:rsidRPr="0001075E" w:rsidRDefault="00B67CB5" w:rsidP="002F1570">
            <w:pPr>
              <w:rPr>
                <w:rFonts w:ascii="Arial" w:hAnsi="Arial" w:cs="Arial"/>
              </w:rPr>
            </w:pPr>
          </w:p>
        </w:tc>
        <w:tc>
          <w:tcPr>
            <w:tcW w:w="2409" w:type="dxa"/>
            <w:vMerge/>
          </w:tcPr>
          <w:p w14:paraId="124DADAD" w14:textId="77777777" w:rsidR="00B67CB5" w:rsidRPr="0001075E" w:rsidRDefault="00B67CB5" w:rsidP="002F1570">
            <w:pPr>
              <w:rPr>
                <w:rFonts w:ascii="Arial" w:hAnsi="Arial" w:cs="Arial"/>
              </w:rPr>
            </w:pPr>
          </w:p>
        </w:tc>
        <w:tc>
          <w:tcPr>
            <w:tcW w:w="4253" w:type="dxa"/>
            <w:vMerge/>
          </w:tcPr>
          <w:p w14:paraId="490C6E75" w14:textId="77777777" w:rsidR="00B67CB5" w:rsidRPr="0001075E" w:rsidRDefault="00B67CB5" w:rsidP="002F1570">
            <w:pPr>
              <w:rPr>
                <w:rFonts w:ascii="Arial" w:hAnsi="Arial" w:cs="Arial"/>
              </w:rPr>
            </w:pPr>
          </w:p>
        </w:tc>
        <w:tc>
          <w:tcPr>
            <w:tcW w:w="4353" w:type="dxa"/>
          </w:tcPr>
          <w:p w14:paraId="3F8B4441" w14:textId="4ADEDEAC" w:rsidR="00B67CB5" w:rsidRDefault="00B67CB5" w:rsidP="002F1570">
            <w:pPr>
              <w:rPr>
                <w:rFonts w:ascii="Arial" w:hAnsi="Arial" w:cs="Arial"/>
                <w:sz w:val="20"/>
                <w:szCs w:val="20"/>
              </w:rPr>
            </w:pPr>
            <w:r w:rsidRPr="0001075E">
              <w:rPr>
                <w:rFonts w:ascii="Arial" w:hAnsi="Arial" w:cs="Arial"/>
                <w:sz w:val="20"/>
                <w:szCs w:val="20"/>
              </w:rPr>
              <w:t xml:space="preserve">Signpost and promote clinical courses to appropriate staff </w:t>
            </w:r>
            <w:r w:rsidR="00387390" w:rsidRPr="0001075E">
              <w:rPr>
                <w:rFonts w:ascii="Arial" w:hAnsi="Arial" w:cs="Arial"/>
                <w:sz w:val="20"/>
                <w:szCs w:val="20"/>
              </w:rPr>
              <w:t>groups.</w:t>
            </w:r>
          </w:p>
          <w:p w14:paraId="7CF66993" w14:textId="15BAEFB9" w:rsidR="00A32BB8" w:rsidRPr="0001075E" w:rsidRDefault="00A32BB8" w:rsidP="002F1570">
            <w:pPr>
              <w:rPr>
                <w:rFonts w:ascii="Arial" w:hAnsi="Arial" w:cs="Arial"/>
                <w:sz w:val="20"/>
                <w:szCs w:val="20"/>
              </w:rPr>
            </w:pPr>
          </w:p>
        </w:tc>
        <w:tc>
          <w:tcPr>
            <w:tcW w:w="1378" w:type="dxa"/>
          </w:tcPr>
          <w:p w14:paraId="143D1BE6" w14:textId="77777777" w:rsidR="00B67CB5" w:rsidRPr="0001075E" w:rsidRDefault="00B67CB5" w:rsidP="002F1570">
            <w:pPr>
              <w:rPr>
                <w:rFonts w:ascii="Arial" w:hAnsi="Arial" w:cs="Arial"/>
              </w:rPr>
            </w:pPr>
          </w:p>
        </w:tc>
      </w:tr>
      <w:tr w:rsidR="00B67CB5" w:rsidRPr="0001075E" w14:paraId="21910945" w14:textId="77777777" w:rsidTr="00A32BB8">
        <w:tc>
          <w:tcPr>
            <w:tcW w:w="1555" w:type="dxa"/>
            <w:vMerge/>
          </w:tcPr>
          <w:p w14:paraId="2319C3F5" w14:textId="77777777" w:rsidR="00B67CB5" w:rsidRPr="0001075E" w:rsidRDefault="00B67CB5" w:rsidP="002F1570">
            <w:pPr>
              <w:rPr>
                <w:rFonts w:ascii="Arial" w:hAnsi="Arial" w:cs="Arial"/>
              </w:rPr>
            </w:pPr>
          </w:p>
        </w:tc>
        <w:tc>
          <w:tcPr>
            <w:tcW w:w="2409" w:type="dxa"/>
            <w:vMerge/>
          </w:tcPr>
          <w:p w14:paraId="2E7F5569" w14:textId="77777777" w:rsidR="00B67CB5" w:rsidRPr="0001075E" w:rsidRDefault="00B67CB5" w:rsidP="002F1570">
            <w:pPr>
              <w:rPr>
                <w:rFonts w:ascii="Arial" w:hAnsi="Arial" w:cs="Arial"/>
              </w:rPr>
            </w:pPr>
          </w:p>
        </w:tc>
        <w:tc>
          <w:tcPr>
            <w:tcW w:w="4253" w:type="dxa"/>
            <w:vMerge/>
          </w:tcPr>
          <w:p w14:paraId="65FC7AF4" w14:textId="77777777" w:rsidR="00B67CB5" w:rsidRPr="0001075E" w:rsidRDefault="00B67CB5" w:rsidP="002F1570">
            <w:pPr>
              <w:rPr>
                <w:rFonts w:ascii="Arial" w:hAnsi="Arial" w:cs="Arial"/>
              </w:rPr>
            </w:pPr>
          </w:p>
        </w:tc>
        <w:tc>
          <w:tcPr>
            <w:tcW w:w="4353" w:type="dxa"/>
          </w:tcPr>
          <w:p w14:paraId="3D85FB9B" w14:textId="361EDB11" w:rsidR="00B67CB5"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Promote and support attendance at education events and share learning with clinical teams through an agreed </w:t>
            </w:r>
            <w:r w:rsidR="00387390" w:rsidRPr="0001075E">
              <w:rPr>
                <w:rFonts w:ascii="Arial" w:eastAsiaTheme="minorEastAsia" w:hAnsi="Arial" w:cs="Arial"/>
                <w:color w:val="000000" w:themeColor="text1"/>
                <w:sz w:val="20"/>
                <w:szCs w:val="20"/>
              </w:rPr>
              <w:t>format.</w:t>
            </w:r>
          </w:p>
          <w:p w14:paraId="2205CC5E" w14:textId="5CC6465B" w:rsidR="00A32BB8" w:rsidRPr="0001075E" w:rsidRDefault="00A32BB8" w:rsidP="002F1570">
            <w:pPr>
              <w:spacing w:line="259" w:lineRule="auto"/>
              <w:rPr>
                <w:rFonts w:ascii="Arial" w:eastAsiaTheme="minorEastAsia" w:hAnsi="Arial" w:cs="Arial"/>
                <w:color w:val="000000" w:themeColor="text1"/>
                <w:sz w:val="20"/>
                <w:szCs w:val="20"/>
              </w:rPr>
            </w:pPr>
          </w:p>
        </w:tc>
        <w:tc>
          <w:tcPr>
            <w:tcW w:w="1378" w:type="dxa"/>
          </w:tcPr>
          <w:p w14:paraId="537DF0F0" w14:textId="77777777" w:rsidR="00B67CB5" w:rsidRPr="0001075E" w:rsidRDefault="00B67CB5" w:rsidP="002F1570">
            <w:pPr>
              <w:rPr>
                <w:rFonts w:ascii="Arial" w:hAnsi="Arial" w:cs="Arial"/>
              </w:rPr>
            </w:pPr>
          </w:p>
        </w:tc>
      </w:tr>
      <w:tr w:rsidR="00B67CB5" w:rsidRPr="0001075E" w14:paraId="435F62EB" w14:textId="77777777" w:rsidTr="00A32BB8">
        <w:tc>
          <w:tcPr>
            <w:tcW w:w="1555" w:type="dxa"/>
            <w:vMerge/>
          </w:tcPr>
          <w:p w14:paraId="541D6CFD" w14:textId="77777777" w:rsidR="00B67CB5" w:rsidRPr="0001075E" w:rsidRDefault="00B67CB5" w:rsidP="002F1570">
            <w:pPr>
              <w:rPr>
                <w:rFonts w:ascii="Arial" w:hAnsi="Arial" w:cs="Arial"/>
              </w:rPr>
            </w:pPr>
          </w:p>
        </w:tc>
        <w:tc>
          <w:tcPr>
            <w:tcW w:w="2409" w:type="dxa"/>
            <w:vMerge/>
          </w:tcPr>
          <w:p w14:paraId="07EB0659" w14:textId="77777777" w:rsidR="00B67CB5" w:rsidRPr="0001075E" w:rsidRDefault="00B67CB5" w:rsidP="002F1570">
            <w:pPr>
              <w:rPr>
                <w:rFonts w:ascii="Arial" w:hAnsi="Arial" w:cs="Arial"/>
              </w:rPr>
            </w:pPr>
          </w:p>
        </w:tc>
        <w:tc>
          <w:tcPr>
            <w:tcW w:w="4253" w:type="dxa"/>
            <w:vMerge/>
          </w:tcPr>
          <w:p w14:paraId="5E5F2F0A" w14:textId="77777777" w:rsidR="00B67CB5" w:rsidRPr="0001075E" w:rsidRDefault="00B67CB5" w:rsidP="002F1570">
            <w:pPr>
              <w:rPr>
                <w:rFonts w:ascii="Arial" w:hAnsi="Arial" w:cs="Arial"/>
              </w:rPr>
            </w:pPr>
          </w:p>
        </w:tc>
        <w:tc>
          <w:tcPr>
            <w:tcW w:w="4353" w:type="dxa"/>
          </w:tcPr>
          <w:p w14:paraId="51560714" w14:textId="169E67DA" w:rsidR="00B67CB5"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Ensure Trust representation at Regional Transfusion Committee </w:t>
            </w:r>
            <w:r w:rsidR="00387390" w:rsidRPr="0001075E">
              <w:rPr>
                <w:rFonts w:ascii="Arial" w:eastAsiaTheme="minorEastAsia" w:hAnsi="Arial" w:cs="Arial"/>
                <w:color w:val="000000" w:themeColor="text1"/>
                <w:sz w:val="20"/>
                <w:szCs w:val="20"/>
              </w:rPr>
              <w:t>meetings.</w:t>
            </w:r>
          </w:p>
          <w:p w14:paraId="049C8102" w14:textId="58124E63" w:rsidR="00A32BB8" w:rsidRPr="0001075E" w:rsidRDefault="00A32BB8" w:rsidP="002F1570">
            <w:pPr>
              <w:spacing w:line="259" w:lineRule="auto"/>
              <w:rPr>
                <w:rFonts w:ascii="Arial" w:eastAsiaTheme="minorEastAsia" w:hAnsi="Arial" w:cs="Arial"/>
                <w:color w:val="000000" w:themeColor="text1"/>
                <w:sz w:val="20"/>
                <w:szCs w:val="20"/>
              </w:rPr>
            </w:pPr>
          </w:p>
        </w:tc>
        <w:tc>
          <w:tcPr>
            <w:tcW w:w="1378" w:type="dxa"/>
          </w:tcPr>
          <w:p w14:paraId="030DCC33" w14:textId="77777777" w:rsidR="00B67CB5" w:rsidRPr="0001075E" w:rsidRDefault="00B67CB5" w:rsidP="002F1570">
            <w:pPr>
              <w:rPr>
                <w:rFonts w:ascii="Arial" w:hAnsi="Arial" w:cs="Arial"/>
              </w:rPr>
            </w:pPr>
          </w:p>
        </w:tc>
      </w:tr>
      <w:tr w:rsidR="00B67CB5" w:rsidRPr="0001075E" w14:paraId="33580F3A" w14:textId="77777777" w:rsidTr="00A32BB8">
        <w:trPr>
          <w:trHeight w:val="795"/>
        </w:trPr>
        <w:tc>
          <w:tcPr>
            <w:tcW w:w="1555" w:type="dxa"/>
            <w:vMerge/>
          </w:tcPr>
          <w:p w14:paraId="3D62B986" w14:textId="77777777" w:rsidR="00B67CB5" w:rsidRPr="0001075E" w:rsidRDefault="00B67CB5" w:rsidP="002F1570">
            <w:pPr>
              <w:pStyle w:val="Pa7"/>
              <w:spacing w:after="40"/>
              <w:rPr>
                <w:rFonts w:ascii="Arial" w:hAnsi="Arial" w:cs="Arial"/>
                <w:b/>
                <w:bCs/>
                <w:color w:val="000000"/>
                <w:sz w:val="20"/>
                <w:szCs w:val="20"/>
              </w:rPr>
            </w:pPr>
          </w:p>
        </w:tc>
        <w:tc>
          <w:tcPr>
            <w:tcW w:w="2409" w:type="dxa"/>
            <w:vMerge/>
          </w:tcPr>
          <w:p w14:paraId="0F742698" w14:textId="77777777" w:rsidR="00B67CB5" w:rsidRPr="0001075E" w:rsidRDefault="00B67CB5" w:rsidP="002F1570">
            <w:pPr>
              <w:pStyle w:val="Pa7"/>
              <w:spacing w:after="40"/>
              <w:rPr>
                <w:rFonts w:ascii="Arial" w:hAnsi="Arial" w:cs="Arial"/>
                <w:color w:val="000000"/>
                <w:sz w:val="20"/>
                <w:szCs w:val="20"/>
              </w:rPr>
            </w:pPr>
          </w:p>
        </w:tc>
        <w:tc>
          <w:tcPr>
            <w:tcW w:w="4253" w:type="dxa"/>
            <w:vMerge/>
          </w:tcPr>
          <w:p w14:paraId="75F951AF" w14:textId="77777777" w:rsidR="00B67CB5" w:rsidRPr="0001075E" w:rsidRDefault="00B67CB5" w:rsidP="002F1570">
            <w:pPr>
              <w:rPr>
                <w:rFonts w:ascii="Arial" w:hAnsi="Arial" w:cs="Arial"/>
                <w:color w:val="FF0000"/>
                <w:sz w:val="20"/>
                <w:szCs w:val="20"/>
              </w:rPr>
            </w:pPr>
          </w:p>
        </w:tc>
        <w:tc>
          <w:tcPr>
            <w:tcW w:w="4353" w:type="dxa"/>
          </w:tcPr>
          <w:p w14:paraId="620739C1" w14:textId="77777777" w:rsidR="00B67CB5"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Multidisciplinary attendance at Hospital Transfusion Team meetings – as per HTC Chairs toolkit</w:t>
            </w:r>
          </w:p>
          <w:p w14:paraId="78BF96D0" w14:textId="6C5A5F4F" w:rsidR="00A32BB8" w:rsidRPr="0001075E" w:rsidRDefault="00A32BB8" w:rsidP="002F1570">
            <w:pPr>
              <w:spacing w:line="259" w:lineRule="auto"/>
              <w:rPr>
                <w:rFonts w:ascii="Arial" w:eastAsiaTheme="minorEastAsia" w:hAnsi="Arial" w:cs="Arial"/>
                <w:color w:val="000000" w:themeColor="text1"/>
                <w:sz w:val="20"/>
                <w:szCs w:val="20"/>
              </w:rPr>
            </w:pPr>
          </w:p>
        </w:tc>
        <w:tc>
          <w:tcPr>
            <w:tcW w:w="1378" w:type="dxa"/>
          </w:tcPr>
          <w:p w14:paraId="6909ADA9" w14:textId="77777777" w:rsidR="00B67CB5" w:rsidRPr="0001075E" w:rsidRDefault="00B67CB5" w:rsidP="002F1570">
            <w:pPr>
              <w:rPr>
                <w:rFonts w:ascii="Arial" w:hAnsi="Arial" w:cs="Arial"/>
                <w:color w:val="000000" w:themeColor="text1"/>
                <w:sz w:val="20"/>
                <w:szCs w:val="20"/>
              </w:rPr>
            </w:pPr>
          </w:p>
        </w:tc>
      </w:tr>
      <w:tr w:rsidR="00B67CB5" w:rsidRPr="0001075E" w14:paraId="236E432D" w14:textId="77777777" w:rsidTr="00A32BB8">
        <w:tc>
          <w:tcPr>
            <w:tcW w:w="1555" w:type="dxa"/>
            <w:vMerge/>
          </w:tcPr>
          <w:p w14:paraId="544CEDF3" w14:textId="77777777" w:rsidR="00B67CB5" w:rsidRPr="0001075E" w:rsidRDefault="00B67CB5" w:rsidP="002F1570">
            <w:pPr>
              <w:rPr>
                <w:rFonts w:ascii="Arial" w:hAnsi="Arial" w:cs="Arial"/>
              </w:rPr>
            </w:pPr>
          </w:p>
        </w:tc>
        <w:tc>
          <w:tcPr>
            <w:tcW w:w="2409" w:type="dxa"/>
            <w:vMerge w:val="restart"/>
          </w:tcPr>
          <w:p w14:paraId="265160DD" w14:textId="77777777" w:rsidR="00B67CB5" w:rsidRPr="0001075E"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Develop a documented competency framework for transfusion practitioners (TP) with plan for pilot and implementation.</w:t>
            </w:r>
          </w:p>
          <w:p w14:paraId="76AE9026" w14:textId="77777777" w:rsidR="00B67CB5" w:rsidRDefault="00B67CB5" w:rsidP="002F1570">
            <w:pPr>
              <w:spacing w:line="259" w:lineRule="auto"/>
              <w:rPr>
                <w:rFonts w:ascii="Arial" w:eastAsiaTheme="minorEastAsia" w:hAnsi="Arial" w:cs="Arial"/>
                <w:color w:val="000000" w:themeColor="text1"/>
                <w:sz w:val="20"/>
                <w:szCs w:val="20"/>
              </w:rPr>
            </w:pPr>
          </w:p>
          <w:p w14:paraId="35C58282" w14:textId="77777777" w:rsidR="00A32BB8" w:rsidRDefault="00A32BB8" w:rsidP="002F1570">
            <w:pPr>
              <w:spacing w:line="259" w:lineRule="auto"/>
              <w:rPr>
                <w:rFonts w:ascii="Arial" w:eastAsiaTheme="minorEastAsia" w:hAnsi="Arial" w:cs="Arial"/>
                <w:color w:val="000000" w:themeColor="text1"/>
                <w:sz w:val="20"/>
                <w:szCs w:val="20"/>
              </w:rPr>
            </w:pPr>
          </w:p>
          <w:p w14:paraId="474E89CF" w14:textId="77777777" w:rsidR="00A32BB8" w:rsidRDefault="00A32BB8" w:rsidP="002F1570">
            <w:pPr>
              <w:spacing w:line="259" w:lineRule="auto"/>
              <w:rPr>
                <w:rFonts w:ascii="Arial" w:eastAsiaTheme="minorEastAsia" w:hAnsi="Arial" w:cs="Arial"/>
                <w:color w:val="000000" w:themeColor="text1"/>
                <w:sz w:val="20"/>
                <w:szCs w:val="20"/>
              </w:rPr>
            </w:pPr>
          </w:p>
          <w:p w14:paraId="1AFDD31B" w14:textId="752C809A" w:rsidR="00A32BB8" w:rsidRPr="0001075E" w:rsidRDefault="00A32BB8" w:rsidP="002F1570">
            <w:pPr>
              <w:spacing w:line="259" w:lineRule="auto"/>
              <w:rPr>
                <w:rFonts w:ascii="Arial" w:eastAsiaTheme="minorEastAsia" w:hAnsi="Arial" w:cs="Arial"/>
                <w:color w:val="000000" w:themeColor="text1"/>
                <w:sz w:val="20"/>
                <w:szCs w:val="20"/>
              </w:rPr>
            </w:pPr>
          </w:p>
        </w:tc>
        <w:tc>
          <w:tcPr>
            <w:tcW w:w="4253" w:type="dxa"/>
            <w:vMerge w:val="restart"/>
          </w:tcPr>
          <w:p w14:paraId="052D9DE9" w14:textId="3AC7C3F7" w:rsidR="00D81C17" w:rsidRDefault="00000000" w:rsidP="002F1570">
            <w:pPr>
              <w:rPr>
                <w:rStyle w:val="Hyperlink"/>
                <w:rFonts w:ascii="Arial" w:hAnsi="Arial" w:cs="Arial"/>
                <w:sz w:val="20"/>
                <w:szCs w:val="20"/>
              </w:rPr>
            </w:pPr>
            <w:hyperlink r:id="rId30" w:history="1">
              <w:r w:rsidR="00D81C17" w:rsidRPr="0001075E">
                <w:rPr>
                  <w:rStyle w:val="Hyperlink"/>
                  <w:rFonts w:ascii="Arial" w:hAnsi="Arial" w:cs="Arial"/>
                  <w:sz w:val="20"/>
                  <w:szCs w:val="20"/>
                </w:rPr>
                <w:t>ISBT Transfusion Practitioners Tools</w:t>
              </w:r>
            </w:hyperlink>
          </w:p>
          <w:p w14:paraId="1CB5C0C9" w14:textId="77777777" w:rsidR="00A32BB8" w:rsidRPr="0001075E" w:rsidRDefault="00A32BB8" w:rsidP="002F1570">
            <w:pPr>
              <w:rPr>
                <w:rFonts w:ascii="Arial" w:hAnsi="Arial" w:cs="Arial"/>
                <w:sz w:val="20"/>
                <w:szCs w:val="20"/>
              </w:rPr>
            </w:pPr>
          </w:p>
          <w:p w14:paraId="69D96C12" w14:textId="6173D156" w:rsidR="00A32BB8" w:rsidRDefault="00A32BB8" w:rsidP="00665B15">
            <w:pPr>
              <w:rPr>
                <w:rStyle w:val="Hyperlink"/>
                <w:rFonts w:ascii="Arial" w:hAnsi="Arial" w:cs="Arial"/>
                <w:sz w:val="20"/>
                <w:szCs w:val="20"/>
              </w:rPr>
            </w:pPr>
            <w:hyperlink r:id="rId31" w:history="1">
              <w:r w:rsidR="00665B15" w:rsidRPr="00A32BB8">
                <w:rPr>
                  <w:rStyle w:val="Hyperlink"/>
                  <w:rFonts w:ascii="Arial" w:hAnsi="Arial" w:cs="Arial"/>
                  <w:sz w:val="20"/>
                  <w:szCs w:val="20"/>
                </w:rPr>
                <w:t>National Transfusion Practiti</w:t>
              </w:r>
              <w:r w:rsidR="00665B15" w:rsidRPr="00A32BB8">
                <w:rPr>
                  <w:rStyle w:val="Hyperlink"/>
                  <w:rFonts w:ascii="Arial" w:hAnsi="Arial" w:cs="Arial"/>
                  <w:sz w:val="20"/>
                  <w:szCs w:val="20"/>
                </w:rPr>
                <w:t>o</w:t>
              </w:r>
              <w:r w:rsidR="00665B15" w:rsidRPr="00A32BB8">
                <w:rPr>
                  <w:rStyle w:val="Hyperlink"/>
                  <w:rFonts w:ascii="Arial" w:hAnsi="Arial" w:cs="Arial"/>
                  <w:sz w:val="20"/>
                  <w:szCs w:val="20"/>
                </w:rPr>
                <w:t>ners Network</w:t>
              </w:r>
            </w:hyperlink>
          </w:p>
          <w:p w14:paraId="778FCE24" w14:textId="77777777" w:rsidR="00A32BB8" w:rsidRDefault="00A32BB8" w:rsidP="00665B15">
            <w:pPr>
              <w:rPr>
                <w:rStyle w:val="Hyperlink"/>
                <w:rFonts w:ascii="Arial" w:hAnsi="Arial" w:cs="Arial"/>
                <w:sz w:val="20"/>
                <w:szCs w:val="20"/>
              </w:rPr>
            </w:pPr>
          </w:p>
          <w:p w14:paraId="62E4416C" w14:textId="77777777" w:rsidR="00A32BB8" w:rsidRDefault="00A32BB8" w:rsidP="00A32BB8">
            <w:pPr>
              <w:rPr>
                <w:rStyle w:val="Hyperlink"/>
                <w:rFonts w:ascii="Arial" w:hAnsi="Arial" w:cs="Arial"/>
                <w:sz w:val="20"/>
                <w:szCs w:val="20"/>
              </w:rPr>
            </w:pPr>
            <w:hyperlink r:id="rId32" w:history="1">
              <w:r w:rsidRPr="0001075E">
                <w:rPr>
                  <w:rStyle w:val="Hyperlink"/>
                  <w:rFonts w:ascii="Arial" w:hAnsi="Arial" w:cs="Arial"/>
                  <w:sz w:val="20"/>
                  <w:szCs w:val="20"/>
                </w:rPr>
                <w:t xml:space="preserve">2021 </w:t>
              </w:r>
              <w:r w:rsidRPr="0001075E">
                <w:rPr>
                  <w:rStyle w:val="Hyperlink"/>
                  <w:rFonts w:ascii="Arial" w:hAnsi="Arial" w:cs="Arial"/>
                  <w:sz w:val="20"/>
                  <w:szCs w:val="20"/>
                </w:rPr>
                <w:t>Survey of Patient Blood Management</w:t>
              </w:r>
            </w:hyperlink>
          </w:p>
          <w:p w14:paraId="51A00865" w14:textId="5513E6F3" w:rsidR="00665B15" w:rsidRDefault="00A32BB8" w:rsidP="00665B15">
            <w:pPr>
              <w:rPr>
                <w:rStyle w:val="Hyperlink"/>
                <w:rFonts w:ascii="Arial" w:hAnsi="Arial" w:cs="Arial"/>
                <w:sz w:val="20"/>
                <w:szCs w:val="20"/>
              </w:rPr>
            </w:pPr>
            <w:r>
              <w:rPr>
                <w:rStyle w:val="Hyperlink"/>
                <w:rFonts w:ascii="Arial" w:hAnsi="Arial" w:cs="Arial"/>
                <w:sz w:val="20"/>
                <w:szCs w:val="20"/>
              </w:rPr>
              <w:t xml:space="preserve"> </w:t>
            </w:r>
          </w:p>
          <w:p w14:paraId="4C30C747" w14:textId="20B8E381" w:rsidR="00665B15" w:rsidRDefault="00000000" w:rsidP="00665B15">
            <w:pPr>
              <w:rPr>
                <w:rStyle w:val="Hyperlink"/>
                <w:rFonts w:ascii="Arial" w:hAnsi="Arial" w:cs="Arial"/>
                <w:sz w:val="20"/>
                <w:szCs w:val="20"/>
              </w:rPr>
            </w:pPr>
            <w:hyperlink r:id="rId33">
              <w:r w:rsidR="00665B15" w:rsidRPr="0001075E">
                <w:rPr>
                  <w:rStyle w:val="Hyperlink"/>
                  <w:rFonts w:ascii="Arial" w:hAnsi="Arial" w:cs="Arial"/>
                  <w:sz w:val="20"/>
                  <w:szCs w:val="20"/>
                </w:rPr>
                <w:t>2018 Survey of Patient Blood Management</w:t>
              </w:r>
            </w:hyperlink>
          </w:p>
          <w:p w14:paraId="6FFC9909" w14:textId="77777777" w:rsidR="00A32BB8" w:rsidRPr="0001075E" w:rsidRDefault="00A32BB8" w:rsidP="00665B15">
            <w:pPr>
              <w:rPr>
                <w:rStyle w:val="Hyperlink"/>
                <w:rFonts w:ascii="Arial" w:hAnsi="Arial" w:cs="Arial"/>
                <w:sz w:val="20"/>
                <w:szCs w:val="20"/>
              </w:rPr>
            </w:pPr>
          </w:p>
          <w:p w14:paraId="30A3C61B" w14:textId="4887F1EB" w:rsidR="00665B15" w:rsidRDefault="00000000" w:rsidP="00665B15">
            <w:pPr>
              <w:rPr>
                <w:rStyle w:val="Hyperlink"/>
                <w:rFonts w:ascii="Arial" w:hAnsi="Arial" w:cs="Arial"/>
                <w:sz w:val="20"/>
                <w:szCs w:val="20"/>
              </w:rPr>
            </w:pPr>
            <w:hyperlink r:id="rId34">
              <w:r w:rsidR="00665B15" w:rsidRPr="0001075E">
                <w:rPr>
                  <w:rStyle w:val="Hyperlink"/>
                  <w:rFonts w:ascii="Arial" w:hAnsi="Arial" w:cs="Arial"/>
                  <w:sz w:val="20"/>
                  <w:szCs w:val="20"/>
                </w:rPr>
                <w:t>2015 Survey of Patient Blood Management</w:t>
              </w:r>
            </w:hyperlink>
          </w:p>
          <w:p w14:paraId="2258A3C2" w14:textId="77777777" w:rsidR="00A32BB8" w:rsidRPr="0001075E" w:rsidRDefault="00A32BB8" w:rsidP="00665B15">
            <w:pPr>
              <w:rPr>
                <w:rFonts w:ascii="Arial" w:hAnsi="Arial" w:cs="Arial"/>
                <w:color w:val="000000" w:themeColor="text1"/>
                <w:sz w:val="20"/>
                <w:szCs w:val="20"/>
              </w:rPr>
            </w:pPr>
          </w:p>
          <w:p w14:paraId="42A861E8" w14:textId="2B04D2DE" w:rsidR="00665B15" w:rsidRPr="0001075E" w:rsidRDefault="00000000" w:rsidP="002F1570">
            <w:pPr>
              <w:rPr>
                <w:rFonts w:ascii="Arial" w:hAnsi="Arial" w:cs="Arial"/>
                <w:color w:val="000000" w:themeColor="text1"/>
                <w:sz w:val="20"/>
                <w:szCs w:val="20"/>
              </w:rPr>
            </w:pPr>
            <w:hyperlink r:id="rId35">
              <w:r w:rsidR="00665B15" w:rsidRPr="0001075E">
                <w:rPr>
                  <w:rStyle w:val="Hyperlink"/>
                  <w:rFonts w:ascii="Arial" w:hAnsi="Arial" w:cs="Arial"/>
                  <w:sz w:val="20"/>
                  <w:szCs w:val="20"/>
                </w:rPr>
                <w:t>2013 Survey of Patient Blood Management</w:t>
              </w:r>
            </w:hyperlink>
          </w:p>
          <w:p w14:paraId="4B997F8E" w14:textId="77777777" w:rsidR="00665B15" w:rsidRDefault="00665B15" w:rsidP="002F1570">
            <w:pPr>
              <w:rPr>
                <w:rFonts w:ascii="Arial" w:hAnsi="Arial" w:cs="Arial"/>
                <w:color w:val="000000" w:themeColor="text1"/>
                <w:sz w:val="20"/>
                <w:szCs w:val="20"/>
              </w:rPr>
            </w:pPr>
          </w:p>
          <w:p w14:paraId="7626E179" w14:textId="77777777" w:rsidR="00A32BB8" w:rsidRDefault="00A32BB8" w:rsidP="002F1570">
            <w:pPr>
              <w:rPr>
                <w:rFonts w:ascii="Arial" w:hAnsi="Arial" w:cs="Arial"/>
                <w:color w:val="000000" w:themeColor="text1"/>
                <w:sz w:val="20"/>
                <w:szCs w:val="20"/>
              </w:rPr>
            </w:pPr>
          </w:p>
          <w:p w14:paraId="6CE6B012" w14:textId="77777777" w:rsidR="00A32BB8" w:rsidRDefault="00A32BB8" w:rsidP="002F1570">
            <w:pPr>
              <w:rPr>
                <w:rFonts w:ascii="Arial" w:hAnsi="Arial" w:cs="Arial"/>
                <w:color w:val="000000" w:themeColor="text1"/>
                <w:sz w:val="20"/>
                <w:szCs w:val="20"/>
              </w:rPr>
            </w:pPr>
          </w:p>
          <w:p w14:paraId="16987DF7" w14:textId="6D851186" w:rsidR="00A32BB8" w:rsidRPr="0001075E" w:rsidRDefault="00A32BB8" w:rsidP="002F1570">
            <w:pPr>
              <w:rPr>
                <w:rFonts w:ascii="Arial" w:hAnsi="Arial" w:cs="Arial"/>
                <w:color w:val="000000" w:themeColor="text1"/>
                <w:sz w:val="20"/>
                <w:szCs w:val="20"/>
              </w:rPr>
            </w:pPr>
          </w:p>
        </w:tc>
        <w:tc>
          <w:tcPr>
            <w:tcW w:w="4353" w:type="dxa"/>
          </w:tcPr>
          <w:p w14:paraId="0558FAE5" w14:textId="56DCE37C" w:rsidR="00B67CB5" w:rsidRDefault="00B67CB5" w:rsidP="002F1570">
            <w:pPr>
              <w:spacing w:line="259" w:lineRule="auto"/>
              <w:rPr>
                <w:rFonts w:ascii="Arial" w:hAnsi="Arial" w:cs="Arial"/>
                <w:color w:val="000000" w:themeColor="text1"/>
                <w:sz w:val="20"/>
                <w:szCs w:val="20"/>
              </w:rPr>
            </w:pPr>
            <w:r w:rsidRPr="0001075E">
              <w:rPr>
                <w:rFonts w:ascii="Arial" w:hAnsi="Arial" w:cs="Arial"/>
                <w:color w:val="000000" w:themeColor="text1"/>
                <w:sz w:val="20"/>
                <w:szCs w:val="20"/>
              </w:rPr>
              <w:t xml:space="preserve">Review current local TP </w:t>
            </w:r>
            <w:r w:rsidR="00387390" w:rsidRPr="0001075E">
              <w:rPr>
                <w:rFonts w:ascii="Arial" w:hAnsi="Arial" w:cs="Arial"/>
                <w:color w:val="000000" w:themeColor="text1"/>
                <w:sz w:val="20"/>
                <w:szCs w:val="20"/>
              </w:rPr>
              <w:t>competencies.</w:t>
            </w:r>
          </w:p>
          <w:p w14:paraId="73252752" w14:textId="4A3F9C38" w:rsidR="00A32BB8" w:rsidRPr="0001075E" w:rsidRDefault="00A32BB8" w:rsidP="002F1570">
            <w:pPr>
              <w:spacing w:line="259" w:lineRule="auto"/>
              <w:rPr>
                <w:rFonts w:ascii="Arial" w:hAnsi="Arial" w:cs="Arial"/>
                <w:color w:val="000000" w:themeColor="text1"/>
                <w:sz w:val="20"/>
                <w:szCs w:val="20"/>
              </w:rPr>
            </w:pPr>
          </w:p>
        </w:tc>
        <w:tc>
          <w:tcPr>
            <w:tcW w:w="1378" w:type="dxa"/>
          </w:tcPr>
          <w:p w14:paraId="736276A3" w14:textId="77777777" w:rsidR="00B67CB5" w:rsidRPr="0001075E" w:rsidRDefault="00B67CB5" w:rsidP="002F1570">
            <w:pPr>
              <w:rPr>
                <w:rFonts w:ascii="Arial" w:hAnsi="Arial" w:cs="Arial"/>
                <w:color w:val="000000" w:themeColor="text1"/>
                <w:sz w:val="20"/>
                <w:szCs w:val="20"/>
              </w:rPr>
            </w:pPr>
          </w:p>
        </w:tc>
      </w:tr>
      <w:tr w:rsidR="00B67CB5" w:rsidRPr="0001075E" w14:paraId="16F2079D" w14:textId="77777777" w:rsidTr="00A32BB8">
        <w:tc>
          <w:tcPr>
            <w:tcW w:w="1555" w:type="dxa"/>
            <w:vMerge/>
          </w:tcPr>
          <w:p w14:paraId="5813E7D8" w14:textId="77777777" w:rsidR="00B67CB5" w:rsidRPr="0001075E" w:rsidRDefault="00B67CB5" w:rsidP="002F1570">
            <w:pPr>
              <w:rPr>
                <w:rFonts w:ascii="Arial" w:hAnsi="Arial" w:cs="Arial"/>
              </w:rPr>
            </w:pPr>
          </w:p>
        </w:tc>
        <w:tc>
          <w:tcPr>
            <w:tcW w:w="2409" w:type="dxa"/>
            <w:vMerge/>
          </w:tcPr>
          <w:p w14:paraId="0EB222C9" w14:textId="77777777" w:rsidR="00B67CB5" w:rsidRPr="0001075E" w:rsidRDefault="00B67CB5" w:rsidP="002F1570">
            <w:pPr>
              <w:rPr>
                <w:rFonts w:ascii="Arial" w:hAnsi="Arial" w:cs="Arial"/>
              </w:rPr>
            </w:pPr>
          </w:p>
        </w:tc>
        <w:tc>
          <w:tcPr>
            <w:tcW w:w="4253" w:type="dxa"/>
            <w:vMerge/>
          </w:tcPr>
          <w:p w14:paraId="62ED4046" w14:textId="77777777" w:rsidR="00B67CB5" w:rsidRPr="0001075E" w:rsidRDefault="00B67CB5" w:rsidP="002F1570">
            <w:pPr>
              <w:rPr>
                <w:rFonts w:ascii="Arial" w:hAnsi="Arial" w:cs="Arial"/>
              </w:rPr>
            </w:pPr>
          </w:p>
        </w:tc>
        <w:tc>
          <w:tcPr>
            <w:tcW w:w="4353" w:type="dxa"/>
          </w:tcPr>
          <w:p w14:paraId="60F05C64" w14:textId="1D5EE249" w:rsidR="00B67CB5"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 xml:space="preserve">Implement national competency framework when </w:t>
            </w:r>
            <w:r w:rsidR="00387390" w:rsidRPr="0001075E">
              <w:rPr>
                <w:rFonts w:ascii="Arial" w:hAnsi="Arial" w:cs="Arial"/>
                <w:color w:val="000000" w:themeColor="text1"/>
                <w:sz w:val="20"/>
                <w:szCs w:val="20"/>
              </w:rPr>
              <w:t>published.</w:t>
            </w:r>
          </w:p>
          <w:p w14:paraId="42C7B3AB" w14:textId="419DE1E8" w:rsidR="00A32BB8" w:rsidRPr="0001075E" w:rsidRDefault="00A32BB8" w:rsidP="002F1570">
            <w:pPr>
              <w:rPr>
                <w:rFonts w:ascii="Arial" w:hAnsi="Arial" w:cs="Arial"/>
                <w:color w:val="000000" w:themeColor="text1"/>
                <w:sz w:val="20"/>
                <w:szCs w:val="20"/>
              </w:rPr>
            </w:pPr>
          </w:p>
        </w:tc>
        <w:tc>
          <w:tcPr>
            <w:tcW w:w="1378" w:type="dxa"/>
          </w:tcPr>
          <w:p w14:paraId="024472BA" w14:textId="77777777" w:rsidR="00B67CB5" w:rsidRPr="0001075E" w:rsidRDefault="00B67CB5" w:rsidP="002F1570">
            <w:pPr>
              <w:rPr>
                <w:rFonts w:ascii="Arial" w:hAnsi="Arial" w:cs="Arial"/>
                <w:color w:val="000000" w:themeColor="text1"/>
                <w:sz w:val="20"/>
                <w:szCs w:val="20"/>
              </w:rPr>
            </w:pPr>
          </w:p>
        </w:tc>
      </w:tr>
      <w:tr w:rsidR="00B67CB5" w:rsidRPr="0001075E" w14:paraId="4B9A9A7A" w14:textId="77777777" w:rsidTr="00A32BB8">
        <w:tc>
          <w:tcPr>
            <w:tcW w:w="1555" w:type="dxa"/>
            <w:vMerge/>
          </w:tcPr>
          <w:p w14:paraId="5E1AD4CC" w14:textId="77777777" w:rsidR="00B67CB5" w:rsidRPr="0001075E" w:rsidRDefault="00B67CB5" w:rsidP="002F1570">
            <w:pPr>
              <w:rPr>
                <w:rFonts w:ascii="Arial" w:hAnsi="Arial" w:cs="Arial"/>
              </w:rPr>
            </w:pPr>
          </w:p>
        </w:tc>
        <w:tc>
          <w:tcPr>
            <w:tcW w:w="2409" w:type="dxa"/>
            <w:vMerge/>
          </w:tcPr>
          <w:p w14:paraId="466280E2" w14:textId="77777777" w:rsidR="00B67CB5" w:rsidRPr="0001075E" w:rsidRDefault="00B67CB5" w:rsidP="002F1570">
            <w:pPr>
              <w:rPr>
                <w:rFonts w:ascii="Arial" w:hAnsi="Arial" w:cs="Arial"/>
              </w:rPr>
            </w:pPr>
          </w:p>
        </w:tc>
        <w:tc>
          <w:tcPr>
            <w:tcW w:w="4253" w:type="dxa"/>
            <w:vMerge/>
          </w:tcPr>
          <w:p w14:paraId="4BF731B9" w14:textId="77777777" w:rsidR="00B67CB5" w:rsidRPr="0001075E" w:rsidRDefault="00B67CB5" w:rsidP="002F1570">
            <w:pPr>
              <w:rPr>
                <w:rFonts w:ascii="Arial" w:hAnsi="Arial" w:cs="Arial"/>
              </w:rPr>
            </w:pPr>
          </w:p>
        </w:tc>
        <w:tc>
          <w:tcPr>
            <w:tcW w:w="4353" w:type="dxa"/>
          </w:tcPr>
          <w:p w14:paraId="4FA0035B" w14:textId="77777777" w:rsidR="00B67CB5"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Incorporate framework into appraisal and career development process.</w:t>
            </w:r>
          </w:p>
          <w:p w14:paraId="653B54F4" w14:textId="001563BD" w:rsidR="00A32BB8" w:rsidRPr="0001075E" w:rsidRDefault="00A32BB8" w:rsidP="002F1570">
            <w:pPr>
              <w:rPr>
                <w:rFonts w:ascii="Arial" w:hAnsi="Arial" w:cs="Arial"/>
                <w:color w:val="000000" w:themeColor="text1"/>
                <w:sz w:val="20"/>
                <w:szCs w:val="20"/>
              </w:rPr>
            </w:pPr>
          </w:p>
        </w:tc>
        <w:tc>
          <w:tcPr>
            <w:tcW w:w="1378" w:type="dxa"/>
          </w:tcPr>
          <w:p w14:paraId="3037112C" w14:textId="77777777" w:rsidR="00B67CB5" w:rsidRPr="0001075E" w:rsidRDefault="00B67CB5" w:rsidP="002F1570">
            <w:pPr>
              <w:rPr>
                <w:rFonts w:ascii="Arial" w:hAnsi="Arial" w:cs="Arial"/>
                <w:color w:val="000000" w:themeColor="text1"/>
                <w:sz w:val="20"/>
                <w:szCs w:val="20"/>
              </w:rPr>
            </w:pPr>
          </w:p>
        </w:tc>
      </w:tr>
      <w:tr w:rsidR="00B67CB5" w:rsidRPr="0001075E" w14:paraId="7E2DC494" w14:textId="77777777" w:rsidTr="00A32BB8">
        <w:tc>
          <w:tcPr>
            <w:tcW w:w="1555" w:type="dxa"/>
            <w:vMerge/>
          </w:tcPr>
          <w:p w14:paraId="05251DD4" w14:textId="77777777" w:rsidR="00B67CB5" w:rsidRPr="0001075E" w:rsidRDefault="00B67CB5" w:rsidP="002F1570">
            <w:pPr>
              <w:rPr>
                <w:rFonts w:ascii="Arial" w:hAnsi="Arial" w:cs="Arial"/>
              </w:rPr>
            </w:pPr>
          </w:p>
        </w:tc>
        <w:tc>
          <w:tcPr>
            <w:tcW w:w="2409" w:type="dxa"/>
            <w:vMerge/>
          </w:tcPr>
          <w:p w14:paraId="7BF609E1" w14:textId="77777777" w:rsidR="00B67CB5" w:rsidRPr="0001075E" w:rsidRDefault="00B67CB5" w:rsidP="002F1570">
            <w:pPr>
              <w:rPr>
                <w:rFonts w:ascii="Arial" w:hAnsi="Arial" w:cs="Arial"/>
              </w:rPr>
            </w:pPr>
          </w:p>
        </w:tc>
        <w:tc>
          <w:tcPr>
            <w:tcW w:w="4253" w:type="dxa"/>
            <w:vMerge/>
          </w:tcPr>
          <w:p w14:paraId="28E601F6" w14:textId="77777777" w:rsidR="00B67CB5" w:rsidRPr="0001075E" w:rsidRDefault="00B67CB5" w:rsidP="002F1570">
            <w:pPr>
              <w:rPr>
                <w:rFonts w:ascii="Arial" w:hAnsi="Arial" w:cs="Arial"/>
              </w:rPr>
            </w:pPr>
          </w:p>
        </w:tc>
        <w:tc>
          <w:tcPr>
            <w:tcW w:w="4353" w:type="dxa"/>
          </w:tcPr>
          <w:p w14:paraId="07688984" w14:textId="3B46ADD0" w:rsidR="00B67CB5" w:rsidRPr="0001075E" w:rsidRDefault="00B67CB5" w:rsidP="00420054">
            <w:pPr>
              <w:spacing w:line="259" w:lineRule="auto"/>
              <w:rPr>
                <w:rFonts w:ascii="Arial" w:hAnsi="Arial" w:cs="Arial"/>
                <w:color w:val="000000" w:themeColor="text1"/>
                <w:sz w:val="20"/>
                <w:szCs w:val="20"/>
              </w:rPr>
            </w:pPr>
            <w:r w:rsidRPr="0001075E">
              <w:rPr>
                <w:rFonts w:ascii="Arial" w:hAnsi="Arial" w:cs="Arial"/>
                <w:color w:val="000000" w:themeColor="text1"/>
                <w:sz w:val="20"/>
                <w:szCs w:val="20"/>
              </w:rPr>
              <w:t>Ensure</w:t>
            </w:r>
            <w:r w:rsidR="00420054" w:rsidRPr="0001075E">
              <w:rPr>
                <w:rFonts w:ascii="Arial" w:hAnsi="Arial" w:cs="Arial"/>
                <w:color w:val="000000" w:themeColor="text1"/>
                <w:sz w:val="20"/>
                <w:szCs w:val="20"/>
              </w:rPr>
              <w:t xml:space="preserve"> regional TP </w:t>
            </w:r>
            <w:r w:rsidRPr="0001075E">
              <w:rPr>
                <w:rFonts w:ascii="Arial" w:hAnsi="Arial" w:cs="Arial"/>
                <w:color w:val="000000" w:themeColor="text1"/>
                <w:sz w:val="20"/>
                <w:szCs w:val="20"/>
              </w:rPr>
              <w:t>representation at National TP</w:t>
            </w:r>
            <w:r w:rsidRPr="0001075E">
              <w:rPr>
                <w:rFonts w:ascii="Arial" w:hAnsi="Arial" w:cs="Arial"/>
              </w:rPr>
              <w:t xml:space="preserve"> </w:t>
            </w:r>
            <w:r w:rsidRPr="0001075E">
              <w:rPr>
                <w:rFonts w:ascii="Arial" w:hAnsi="Arial" w:cs="Arial"/>
                <w:color w:val="000000" w:themeColor="text1"/>
                <w:sz w:val="20"/>
                <w:szCs w:val="20"/>
              </w:rPr>
              <w:t>group</w:t>
            </w:r>
            <w:r w:rsidR="00420054" w:rsidRPr="0001075E">
              <w:rPr>
                <w:rFonts w:ascii="Arial" w:hAnsi="Arial" w:cs="Arial"/>
              </w:rPr>
              <w:t xml:space="preserve"> </w:t>
            </w:r>
          </w:p>
        </w:tc>
        <w:tc>
          <w:tcPr>
            <w:tcW w:w="1378" w:type="dxa"/>
          </w:tcPr>
          <w:p w14:paraId="507045AC" w14:textId="77777777" w:rsidR="00B67CB5" w:rsidRPr="0001075E" w:rsidRDefault="00B67CB5" w:rsidP="002F1570">
            <w:pPr>
              <w:rPr>
                <w:rFonts w:ascii="Arial" w:hAnsi="Arial" w:cs="Arial"/>
                <w:color w:val="000000" w:themeColor="text1"/>
                <w:sz w:val="20"/>
                <w:szCs w:val="20"/>
              </w:rPr>
            </w:pPr>
          </w:p>
        </w:tc>
      </w:tr>
      <w:tr w:rsidR="00313ED6" w:rsidRPr="0001075E" w14:paraId="63D63E0C" w14:textId="77777777" w:rsidTr="00313ED6">
        <w:trPr>
          <w:trHeight w:val="557"/>
        </w:trPr>
        <w:tc>
          <w:tcPr>
            <w:tcW w:w="13948" w:type="dxa"/>
            <w:gridSpan w:val="5"/>
          </w:tcPr>
          <w:p w14:paraId="53A7B4F7" w14:textId="723FA462" w:rsidR="00313ED6" w:rsidRPr="0001075E" w:rsidRDefault="00313ED6" w:rsidP="002F1570">
            <w:pPr>
              <w:rPr>
                <w:rFonts w:ascii="Arial" w:hAnsi="Arial" w:cs="Arial"/>
                <w:b/>
                <w:bCs/>
                <w:sz w:val="28"/>
                <w:szCs w:val="28"/>
              </w:rPr>
            </w:pPr>
            <w:r w:rsidRPr="0001075E">
              <w:rPr>
                <w:rFonts w:ascii="Arial" w:hAnsi="Arial" w:cs="Arial"/>
                <w:b/>
                <w:bCs/>
                <w:sz w:val="28"/>
                <w:szCs w:val="28"/>
              </w:rPr>
              <w:lastRenderedPageBreak/>
              <w:t>Transfusion Laboratory Safety</w:t>
            </w:r>
          </w:p>
        </w:tc>
      </w:tr>
      <w:tr w:rsidR="00B67CB5" w:rsidRPr="0001075E" w14:paraId="59701F5F" w14:textId="77777777" w:rsidTr="00A32BB8">
        <w:tc>
          <w:tcPr>
            <w:tcW w:w="1555" w:type="dxa"/>
          </w:tcPr>
          <w:p w14:paraId="4E45E50C" w14:textId="77777777" w:rsidR="00B67CB5" w:rsidRPr="0001075E" w:rsidRDefault="00B67CB5" w:rsidP="002F1570">
            <w:pPr>
              <w:rPr>
                <w:rFonts w:ascii="Arial" w:hAnsi="Arial" w:cs="Arial"/>
              </w:rPr>
            </w:pPr>
          </w:p>
        </w:tc>
        <w:tc>
          <w:tcPr>
            <w:tcW w:w="2409" w:type="dxa"/>
          </w:tcPr>
          <w:p w14:paraId="6A70E32F" w14:textId="77777777" w:rsidR="00B67CB5" w:rsidRPr="0001075E" w:rsidRDefault="00B67CB5" w:rsidP="002F1570">
            <w:pPr>
              <w:rPr>
                <w:rFonts w:ascii="Arial" w:hAnsi="Arial" w:cs="Arial"/>
              </w:rPr>
            </w:pPr>
            <w:r w:rsidRPr="0001075E">
              <w:rPr>
                <w:rFonts w:ascii="Arial" w:hAnsi="Arial" w:cs="Arial"/>
                <w:color w:val="000000"/>
                <w:sz w:val="20"/>
                <w:szCs w:val="20"/>
              </w:rPr>
              <w:t>Outcomes</w:t>
            </w:r>
          </w:p>
        </w:tc>
        <w:tc>
          <w:tcPr>
            <w:tcW w:w="4253" w:type="dxa"/>
          </w:tcPr>
          <w:p w14:paraId="07C87C83" w14:textId="77777777" w:rsidR="00B67CB5" w:rsidRPr="0001075E" w:rsidRDefault="00B67CB5" w:rsidP="002F1570">
            <w:pPr>
              <w:rPr>
                <w:rFonts w:ascii="Arial" w:hAnsi="Arial" w:cs="Arial"/>
              </w:rPr>
            </w:pPr>
            <w:r w:rsidRPr="0001075E">
              <w:rPr>
                <w:rFonts w:ascii="Arial" w:hAnsi="Arial" w:cs="Arial"/>
              </w:rPr>
              <w:t>Tools &amp; resources</w:t>
            </w:r>
          </w:p>
        </w:tc>
        <w:tc>
          <w:tcPr>
            <w:tcW w:w="4353" w:type="dxa"/>
          </w:tcPr>
          <w:p w14:paraId="315D596D" w14:textId="77777777" w:rsidR="00B67CB5" w:rsidRPr="0001075E" w:rsidRDefault="00B67CB5" w:rsidP="002F1570">
            <w:pPr>
              <w:rPr>
                <w:rFonts w:ascii="Arial" w:hAnsi="Arial" w:cs="Arial"/>
              </w:rPr>
            </w:pPr>
            <w:r w:rsidRPr="0001075E">
              <w:rPr>
                <w:rFonts w:ascii="Arial" w:hAnsi="Arial" w:cs="Arial"/>
              </w:rPr>
              <w:t>Actions</w:t>
            </w:r>
          </w:p>
        </w:tc>
        <w:tc>
          <w:tcPr>
            <w:tcW w:w="1378" w:type="dxa"/>
          </w:tcPr>
          <w:p w14:paraId="653C6809" w14:textId="77777777" w:rsidR="00B67CB5" w:rsidRPr="0001075E" w:rsidRDefault="00B67CB5" w:rsidP="002F1570">
            <w:pPr>
              <w:rPr>
                <w:rFonts w:ascii="Arial" w:hAnsi="Arial" w:cs="Arial"/>
              </w:rPr>
            </w:pPr>
            <w:r w:rsidRPr="0001075E">
              <w:rPr>
                <w:rFonts w:ascii="Arial" w:hAnsi="Arial" w:cs="Arial"/>
              </w:rPr>
              <w:t>Compliance</w:t>
            </w:r>
          </w:p>
        </w:tc>
      </w:tr>
      <w:tr w:rsidR="00B67CB5" w:rsidRPr="0001075E" w14:paraId="69117420" w14:textId="77777777" w:rsidTr="00A32BB8">
        <w:tc>
          <w:tcPr>
            <w:tcW w:w="1555" w:type="dxa"/>
          </w:tcPr>
          <w:p w14:paraId="3D707440" w14:textId="77777777" w:rsidR="00B67CB5" w:rsidRPr="0001075E" w:rsidRDefault="00B67CB5" w:rsidP="002F1570">
            <w:pPr>
              <w:pStyle w:val="Pa7"/>
              <w:spacing w:after="40"/>
              <w:rPr>
                <w:rFonts w:ascii="Arial" w:hAnsi="Arial" w:cs="Arial"/>
                <w:b/>
                <w:bCs/>
                <w:color w:val="000000"/>
                <w:sz w:val="20"/>
                <w:szCs w:val="20"/>
              </w:rPr>
            </w:pPr>
            <w:r w:rsidRPr="0001075E">
              <w:rPr>
                <w:rFonts w:ascii="Arial" w:hAnsi="Arial" w:cs="Arial"/>
                <w:b/>
                <w:bCs/>
                <w:color w:val="000000"/>
                <w:sz w:val="20"/>
                <w:szCs w:val="20"/>
              </w:rPr>
              <w:t>Laboratory staffing</w:t>
            </w:r>
          </w:p>
          <w:p w14:paraId="1E2894F1" w14:textId="77777777" w:rsidR="00B67CB5" w:rsidRPr="0001075E" w:rsidRDefault="00B67CB5" w:rsidP="002F1570">
            <w:pPr>
              <w:pStyle w:val="Default"/>
              <w:spacing w:line="201" w:lineRule="atLeast"/>
              <w:rPr>
                <w:rFonts w:ascii="Arial" w:hAnsi="Arial" w:cs="Arial"/>
              </w:rPr>
            </w:pPr>
          </w:p>
        </w:tc>
        <w:tc>
          <w:tcPr>
            <w:tcW w:w="2409" w:type="dxa"/>
          </w:tcPr>
          <w:p w14:paraId="15E6A54A" w14:textId="77777777" w:rsidR="00B67CB5" w:rsidRPr="0001075E" w:rsidRDefault="00B67CB5" w:rsidP="002F1570">
            <w:pPr>
              <w:pStyle w:val="Pa7"/>
              <w:spacing w:after="40"/>
              <w:rPr>
                <w:rFonts w:ascii="Arial" w:hAnsi="Arial" w:cs="Arial"/>
                <w:color w:val="000000"/>
                <w:sz w:val="20"/>
                <w:szCs w:val="20"/>
              </w:rPr>
            </w:pPr>
            <w:r w:rsidRPr="0001075E">
              <w:rPr>
                <w:rFonts w:ascii="Arial" w:hAnsi="Arial" w:cs="Arial"/>
                <w:color w:val="000000"/>
                <w:sz w:val="20"/>
                <w:szCs w:val="20"/>
              </w:rPr>
              <w:t xml:space="preserve">Laboratories to have robust capacity planning to ensure adequate staffing, skill mix and resources for safe and effective delivery of services. </w:t>
            </w:r>
          </w:p>
        </w:tc>
        <w:tc>
          <w:tcPr>
            <w:tcW w:w="4253" w:type="dxa"/>
          </w:tcPr>
          <w:p w14:paraId="4C5FC327" w14:textId="580C865A" w:rsidR="00B67CB5" w:rsidRPr="0001075E" w:rsidRDefault="00000000" w:rsidP="002F1570">
            <w:pPr>
              <w:rPr>
                <w:rFonts w:ascii="Arial" w:hAnsi="Arial" w:cs="Arial"/>
                <w:color w:val="000000"/>
                <w:sz w:val="20"/>
                <w:szCs w:val="20"/>
              </w:rPr>
            </w:pPr>
            <w:hyperlink r:id="rId36" w:history="1">
              <w:r w:rsidR="000A6CC1" w:rsidRPr="0001075E">
                <w:rPr>
                  <w:rStyle w:val="Hyperlink"/>
                  <w:rFonts w:ascii="Arial" w:hAnsi="Arial" w:cs="Arial"/>
                  <w:sz w:val="20"/>
                  <w:szCs w:val="20"/>
                </w:rPr>
                <w:t>Capacity Planning Guidance and Methodology for Transfusion Laboratories (SHOT)</w:t>
              </w:r>
            </w:hyperlink>
          </w:p>
          <w:p w14:paraId="10CE7CA6" w14:textId="1CCEF3E8" w:rsidR="00B67CB5" w:rsidRPr="0001075E" w:rsidRDefault="00B67CB5" w:rsidP="002F1570">
            <w:pPr>
              <w:rPr>
                <w:rFonts w:ascii="Arial" w:hAnsi="Arial" w:cs="Arial"/>
                <w:color w:val="000000"/>
                <w:sz w:val="20"/>
                <w:szCs w:val="20"/>
              </w:rPr>
            </w:pPr>
          </w:p>
          <w:p w14:paraId="4A6FC580" w14:textId="01961A22" w:rsidR="00137EA7" w:rsidRPr="0001075E" w:rsidRDefault="00A62C91" w:rsidP="002F1570">
            <w:pPr>
              <w:rPr>
                <w:rFonts w:ascii="Arial" w:hAnsi="Arial" w:cs="Arial"/>
                <w:color w:val="000000"/>
                <w:sz w:val="20"/>
                <w:szCs w:val="20"/>
              </w:rPr>
            </w:pPr>
            <w:r w:rsidRPr="0001075E">
              <w:rPr>
                <w:rFonts w:ascii="Arial" w:hAnsi="Arial" w:cs="Arial"/>
                <w:color w:val="000000"/>
                <w:sz w:val="20"/>
                <w:szCs w:val="20"/>
              </w:rPr>
              <w:t>L</w:t>
            </w:r>
            <w:r w:rsidR="00137EA7" w:rsidRPr="0001075E">
              <w:rPr>
                <w:rFonts w:ascii="Arial" w:hAnsi="Arial" w:cs="Arial"/>
                <w:color w:val="000000"/>
                <w:sz w:val="20"/>
                <w:szCs w:val="20"/>
              </w:rPr>
              <w:t>ink to the UKTLC standards and tools (</w:t>
            </w:r>
            <w:hyperlink r:id="rId37" w:history="1">
              <w:r w:rsidR="00137EA7" w:rsidRPr="0001075E">
                <w:rPr>
                  <w:rStyle w:val="Hyperlink"/>
                  <w:rFonts w:ascii="Arial" w:hAnsi="Arial" w:cs="Arial"/>
                </w:rPr>
                <w:t>UKTLC - Serious Hazards of Transfusion (shotuk.org)</w:t>
              </w:r>
            </w:hyperlink>
            <w:r w:rsidR="00137EA7" w:rsidRPr="0001075E">
              <w:rPr>
                <w:rFonts w:ascii="Arial" w:hAnsi="Arial" w:cs="Arial"/>
              </w:rPr>
              <w:t>)</w:t>
            </w:r>
          </w:p>
          <w:p w14:paraId="5C9098BC" w14:textId="77777777" w:rsidR="00B67CB5" w:rsidRPr="0001075E" w:rsidRDefault="00B67CB5" w:rsidP="002F1570">
            <w:pPr>
              <w:rPr>
                <w:rFonts w:ascii="Arial" w:hAnsi="Arial" w:cs="Arial"/>
                <w:color w:val="000000"/>
                <w:sz w:val="20"/>
                <w:szCs w:val="20"/>
              </w:rPr>
            </w:pPr>
          </w:p>
          <w:p w14:paraId="3240597C" w14:textId="77777777" w:rsidR="00B67CB5" w:rsidRPr="0001075E" w:rsidRDefault="00B67CB5" w:rsidP="002F1570">
            <w:pPr>
              <w:rPr>
                <w:rFonts w:ascii="Arial" w:hAnsi="Arial" w:cs="Arial"/>
                <w:color w:val="000000"/>
                <w:sz w:val="20"/>
                <w:szCs w:val="20"/>
              </w:rPr>
            </w:pPr>
          </w:p>
          <w:p w14:paraId="69B5C72E" w14:textId="77777777" w:rsidR="00B67CB5" w:rsidRPr="0001075E" w:rsidRDefault="00B67CB5" w:rsidP="002F1570">
            <w:pPr>
              <w:rPr>
                <w:rFonts w:ascii="Arial" w:hAnsi="Arial" w:cs="Arial"/>
              </w:rPr>
            </w:pPr>
          </w:p>
        </w:tc>
        <w:tc>
          <w:tcPr>
            <w:tcW w:w="4353" w:type="dxa"/>
          </w:tcPr>
          <w:p w14:paraId="7DA72771" w14:textId="77777777" w:rsidR="00B67CB5" w:rsidRPr="0001075E"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Each hospital transfusion laboratory has an approved capacity plan in place </w:t>
            </w:r>
            <w:r w:rsidRPr="0001075E">
              <w:rPr>
                <w:rFonts w:ascii="Arial" w:hAnsi="Arial" w:cs="Arial"/>
                <w:color w:val="000000"/>
                <w:sz w:val="20"/>
                <w:szCs w:val="20"/>
              </w:rPr>
              <w:t>fully supported by trust senior management.</w:t>
            </w:r>
          </w:p>
          <w:p w14:paraId="10A1244C" w14:textId="77777777" w:rsidR="00B67CB5" w:rsidRPr="0001075E" w:rsidRDefault="00B67CB5" w:rsidP="002F1570">
            <w:pPr>
              <w:rPr>
                <w:rFonts w:ascii="Arial" w:hAnsi="Arial" w:cs="Arial"/>
              </w:rPr>
            </w:pPr>
          </w:p>
        </w:tc>
        <w:tc>
          <w:tcPr>
            <w:tcW w:w="1378" w:type="dxa"/>
          </w:tcPr>
          <w:p w14:paraId="10FA3009" w14:textId="77777777" w:rsidR="00B67CB5" w:rsidRPr="0001075E" w:rsidRDefault="00B67CB5" w:rsidP="002F1570">
            <w:pPr>
              <w:rPr>
                <w:rFonts w:ascii="Arial" w:hAnsi="Arial" w:cs="Arial"/>
              </w:rPr>
            </w:pPr>
          </w:p>
        </w:tc>
      </w:tr>
      <w:tr w:rsidR="00B67CB5" w:rsidRPr="0001075E" w14:paraId="5E83E159" w14:textId="77777777" w:rsidTr="00A32BB8">
        <w:tc>
          <w:tcPr>
            <w:tcW w:w="1555" w:type="dxa"/>
          </w:tcPr>
          <w:p w14:paraId="5DA0EBEE" w14:textId="77777777" w:rsidR="00B67CB5" w:rsidRPr="0001075E" w:rsidRDefault="00B67CB5" w:rsidP="002F1570">
            <w:pPr>
              <w:pStyle w:val="Pa7"/>
              <w:spacing w:after="40"/>
              <w:rPr>
                <w:rFonts w:ascii="Arial" w:hAnsi="Arial" w:cs="Arial"/>
                <w:b/>
                <w:bCs/>
                <w:color w:val="000000"/>
                <w:sz w:val="20"/>
                <w:szCs w:val="20"/>
              </w:rPr>
            </w:pPr>
          </w:p>
        </w:tc>
        <w:tc>
          <w:tcPr>
            <w:tcW w:w="2409" w:type="dxa"/>
          </w:tcPr>
          <w:p w14:paraId="0187F06B" w14:textId="77777777" w:rsidR="00B67CB5" w:rsidRPr="0001075E" w:rsidRDefault="00B67CB5" w:rsidP="002F1570">
            <w:pPr>
              <w:pStyle w:val="Pa7"/>
              <w:spacing w:after="40"/>
              <w:rPr>
                <w:rFonts w:ascii="Arial" w:hAnsi="Arial" w:cs="Arial"/>
                <w:color w:val="000000"/>
                <w:sz w:val="20"/>
                <w:szCs w:val="20"/>
              </w:rPr>
            </w:pPr>
            <w:r w:rsidRPr="0001075E">
              <w:rPr>
                <w:rFonts w:ascii="Arial" w:hAnsi="Arial" w:cs="Arial"/>
                <w:color w:val="000000"/>
                <w:sz w:val="20"/>
                <w:szCs w:val="20"/>
              </w:rPr>
              <w:t>Ensure the safe use of non-haematology staff especially in essential laboratory services (ESLs) out of hours, supported by guidance on education requirements for multi-disciplinary staff.</w:t>
            </w:r>
          </w:p>
        </w:tc>
        <w:tc>
          <w:tcPr>
            <w:tcW w:w="4253" w:type="dxa"/>
          </w:tcPr>
          <w:p w14:paraId="003357C7" w14:textId="73F86EFF" w:rsidR="00E43437" w:rsidRPr="0001075E" w:rsidRDefault="00000000" w:rsidP="002F1570">
            <w:pPr>
              <w:rPr>
                <w:rFonts w:ascii="Arial" w:hAnsi="Arial" w:cs="Arial"/>
                <w:color w:val="000000"/>
                <w:sz w:val="20"/>
                <w:szCs w:val="20"/>
              </w:rPr>
            </w:pPr>
            <w:hyperlink r:id="rId38" w:history="1">
              <w:r w:rsidR="00E43437" w:rsidRPr="0001075E">
                <w:rPr>
                  <w:rStyle w:val="Hyperlink"/>
                  <w:rFonts w:ascii="Arial" w:hAnsi="Arial" w:cs="Arial"/>
                  <w:sz w:val="20"/>
                  <w:szCs w:val="20"/>
                </w:rPr>
                <w:t>https://www.shotuk.org/resources/current-resources/uktlc/</w:t>
              </w:r>
            </w:hyperlink>
          </w:p>
          <w:p w14:paraId="7A9CE48A" w14:textId="77777777" w:rsidR="00E43437" w:rsidRPr="0001075E" w:rsidRDefault="00E43437" w:rsidP="002F1570">
            <w:pPr>
              <w:rPr>
                <w:rFonts w:ascii="Arial" w:hAnsi="Arial" w:cs="Arial"/>
                <w:color w:val="000000"/>
                <w:sz w:val="20"/>
                <w:szCs w:val="20"/>
                <w:highlight w:val="yellow"/>
              </w:rPr>
            </w:pPr>
          </w:p>
          <w:p w14:paraId="571EDC03" w14:textId="6DB0D6D7" w:rsidR="00B67CB5" w:rsidRPr="0001075E" w:rsidRDefault="00B67CB5" w:rsidP="002F1570">
            <w:pPr>
              <w:rPr>
                <w:rFonts w:ascii="Arial" w:hAnsi="Arial" w:cs="Arial"/>
                <w:color w:val="000000"/>
                <w:sz w:val="20"/>
                <w:szCs w:val="20"/>
                <w:highlight w:val="yellow"/>
              </w:rPr>
            </w:pPr>
          </w:p>
        </w:tc>
        <w:tc>
          <w:tcPr>
            <w:tcW w:w="4353" w:type="dxa"/>
          </w:tcPr>
          <w:p w14:paraId="55EB4032" w14:textId="2AE85C8C" w:rsidR="00B67CB5" w:rsidRPr="0001075E" w:rsidRDefault="00420054" w:rsidP="002F1570">
            <w:pPr>
              <w:pStyle w:val="Default"/>
              <w:spacing w:line="201" w:lineRule="atLeast"/>
              <w:rPr>
                <w:rStyle w:val="A9"/>
                <w:rFonts w:ascii="Arial" w:hAnsi="Arial" w:cs="Arial"/>
                <w:u w:val="none"/>
              </w:rPr>
            </w:pPr>
            <w:r w:rsidRPr="0001075E">
              <w:rPr>
                <w:rFonts w:ascii="Arial" w:hAnsi="Arial" w:cs="Arial"/>
                <w:sz w:val="20"/>
                <w:szCs w:val="20"/>
              </w:rPr>
              <w:t>Each hospital to have a plan in place to ensure non-haematology staff are provided educati</w:t>
            </w:r>
            <w:r w:rsidR="00E43437" w:rsidRPr="0001075E">
              <w:rPr>
                <w:rFonts w:ascii="Arial" w:hAnsi="Arial" w:cs="Arial"/>
                <w:sz w:val="20"/>
                <w:szCs w:val="20"/>
              </w:rPr>
              <w:t>on and training to meet the current</w:t>
            </w:r>
            <w:r w:rsidRPr="0001075E">
              <w:rPr>
                <w:rFonts w:ascii="Arial" w:hAnsi="Arial" w:cs="Arial"/>
                <w:sz w:val="20"/>
                <w:szCs w:val="20"/>
              </w:rPr>
              <w:t xml:space="preserve"> UKTLC standards</w:t>
            </w:r>
            <w:r w:rsidR="00E43437" w:rsidRPr="0001075E">
              <w:rPr>
                <w:rFonts w:ascii="Arial" w:hAnsi="Arial" w:cs="Arial"/>
                <w:sz w:val="20"/>
                <w:szCs w:val="20"/>
              </w:rPr>
              <w:t xml:space="preserve"> (updated in 202</w:t>
            </w:r>
            <w:r w:rsidR="00A62C91" w:rsidRPr="0001075E">
              <w:rPr>
                <w:rFonts w:ascii="Arial" w:hAnsi="Arial" w:cs="Arial"/>
                <w:sz w:val="20"/>
                <w:szCs w:val="20"/>
              </w:rPr>
              <w:t>3</w:t>
            </w:r>
            <w:r w:rsidR="00E43437" w:rsidRPr="0001075E">
              <w:rPr>
                <w:rFonts w:ascii="Arial" w:hAnsi="Arial" w:cs="Arial"/>
                <w:sz w:val="20"/>
                <w:szCs w:val="20"/>
              </w:rPr>
              <w:t>)</w:t>
            </w:r>
          </w:p>
        </w:tc>
        <w:tc>
          <w:tcPr>
            <w:tcW w:w="1378" w:type="dxa"/>
          </w:tcPr>
          <w:p w14:paraId="3D0AB30D" w14:textId="77777777" w:rsidR="00B67CB5" w:rsidRPr="0001075E" w:rsidRDefault="00B67CB5" w:rsidP="002F1570">
            <w:pPr>
              <w:rPr>
                <w:rFonts w:ascii="Arial" w:hAnsi="Arial" w:cs="Arial"/>
              </w:rPr>
            </w:pPr>
          </w:p>
        </w:tc>
      </w:tr>
      <w:tr w:rsidR="00B67CB5" w:rsidRPr="0001075E" w14:paraId="1EA05BA9" w14:textId="77777777" w:rsidTr="00A32BB8">
        <w:tc>
          <w:tcPr>
            <w:tcW w:w="1555" w:type="dxa"/>
          </w:tcPr>
          <w:p w14:paraId="0468F531" w14:textId="77777777" w:rsidR="00B67CB5" w:rsidRPr="0001075E" w:rsidRDefault="00B67CB5" w:rsidP="002F1570">
            <w:pPr>
              <w:pStyle w:val="Pa7"/>
              <w:spacing w:after="40"/>
              <w:rPr>
                <w:rFonts w:ascii="Arial" w:hAnsi="Arial" w:cs="Arial"/>
                <w:b/>
                <w:bCs/>
                <w:color w:val="000000"/>
                <w:sz w:val="20"/>
                <w:szCs w:val="20"/>
              </w:rPr>
            </w:pPr>
            <w:r w:rsidRPr="0001075E">
              <w:rPr>
                <w:rFonts w:ascii="Arial" w:hAnsi="Arial" w:cs="Arial"/>
                <w:b/>
                <w:bCs/>
                <w:color w:val="000000"/>
                <w:sz w:val="20"/>
                <w:szCs w:val="20"/>
              </w:rPr>
              <w:t>Scientific and technical education and training</w:t>
            </w:r>
          </w:p>
        </w:tc>
        <w:tc>
          <w:tcPr>
            <w:tcW w:w="2409" w:type="dxa"/>
          </w:tcPr>
          <w:p w14:paraId="499314D1" w14:textId="77777777" w:rsidR="00B67CB5" w:rsidRPr="0001075E" w:rsidRDefault="00B67CB5" w:rsidP="002F1570">
            <w:pPr>
              <w:pStyle w:val="Pa7"/>
              <w:spacing w:after="40"/>
              <w:rPr>
                <w:rFonts w:ascii="Arial" w:hAnsi="Arial" w:cs="Arial"/>
                <w:color w:val="000000"/>
                <w:sz w:val="20"/>
                <w:szCs w:val="20"/>
              </w:rPr>
            </w:pPr>
            <w:r w:rsidRPr="0001075E">
              <w:rPr>
                <w:rFonts w:ascii="Arial" w:hAnsi="Arial" w:cs="Arial"/>
                <w:color w:val="000000"/>
                <w:sz w:val="20"/>
                <w:szCs w:val="20"/>
              </w:rPr>
              <w:t>Review and strengthen transfusion scientific training.</w:t>
            </w:r>
          </w:p>
          <w:p w14:paraId="2A9282B9" w14:textId="74DDCDD3" w:rsidR="00B67CB5" w:rsidRPr="0001075E" w:rsidRDefault="00B67CB5" w:rsidP="002F1570">
            <w:pPr>
              <w:rPr>
                <w:rFonts w:ascii="Arial" w:hAnsi="Arial" w:cs="Arial"/>
              </w:rPr>
            </w:pPr>
            <w:r w:rsidRPr="0001075E">
              <w:rPr>
                <w:rFonts w:ascii="Arial" w:hAnsi="Arial" w:cs="Arial"/>
                <w:color w:val="000000"/>
                <w:sz w:val="20"/>
                <w:szCs w:val="20"/>
              </w:rPr>
              <w:t>Develop and implement a strategy for Consultant Clinical Scientists to take a leadership role in transfusion</w:t>
            </w:r>
            <w:r w:rsidR="00137EA7" w:rsidRPr="0001075E">
              <w:rPr>
                <w:rFonts w:ascii="Arial" w:hAnsi="Arial" w:cs="Arial"/>
                <w:color w:val="000000"/>
                <w:sz w:val="20"/>
                <w:szCs w:val="20"/>
              </w:rPr>
              <w:t>.</w:t>
            </w:r>
          </w:p>
        </w:tc>
        <w:tc>
          <w:tcPr>
            <w:tcW w:w="4253" w:type="dxa"/>
          </w:tcPr>
          <w:p w14:paraId="260F0117" w14:textId="5A58FAC0" w:rsidR="00313ED6" w:rsidRDefault="00A32BB8" w:rsidP="002F1570">
            <w:pPr>
              <w:rPr>
                <w:color w:val="000000"/>
              </w:rPr>
            </w:pPr>
            <w:hyperlink r:id="rId39" w:history="1">
              <w:r w:rsidRPr="003F3B80">
                <w:rPr>
                  <w:rStyle w:val="Hyperlink"/>
                </w:rPr>
                <w:t>https://hospital.blood.co.uk/training/scientific-courses/</w:t>
              </w:r>
            </w:hyperlink>
          </w:p>
          <w:p w14:paraId="0AE02901" w14:textId="77777777" w:rsidR="00A32BB8" w:rsidRPr="00313ED6" w:rsidRDefault="00A32BB8" w:rsidP="002F1570">
            <w:pPr>
              <w:rPr>
                <w:color w:val="000000"/>
              </w:rPr>
            </w:pPr>
          </w:p>
          <w:p w14:paraId="6E220A93" w14:textId="77777777" w:rsidR="00485F2E" w:rsidRPr="00313ED6" w:rsidRDefault="00485F2E" w:rsidP="002F1570">
            <w:pPr>
              <w:rPr>
                <w:rFonts w:ascii="Arial" w:hAnsi="Arial" w:cs="Arial"/>
                <w:color w:val="000000"/>
                <w:sz w:val="20"/>
                <w:szCs w:val="20"/>
              </w:rPr>
            </w:pPr>
          </w:p>
          <w:p w14:paraId="02C62D5F" w14:textId="0D765220" w:rsidR="00313ED6" w:rsidRDefault="00313ED6" w:rsidP="00485F2E">
            <w:pPr>
              <w:autoSpaceDE w:val="0"/>
              <w:autoSpaceDN w:val="0"/>
              <w:adjustRightInd w:val="0"/>
              <w:rPr>
                <w:color w:val="000000"/>
                <w:sz w:val="20"/>
                <w:szCs w:val="20"/>
              </w:rPr>
            </w:pPr>
            <w:hyperlink r:id="rId40" w:history="1">
              <w:r w:rsidRPr="003F3B80">
                <w:rPr>
                  <w:rStyle w:val="Hyperlink"/>
                  <w:sz w:val="20"/>
                  <w:szCs w:val="20"/>
                </w:rPr>
                <w:t>https://nshcs.hee.nhs.uk/programmes/*</w:t>
              </w:r>
            </w:hyperlink>
          </w:p>
          <w:p w14:paraId="6FAF8372" w14:textId="77777777" w:rsidR="00485F2E" w:rsidRPr="00313ED6" w:rsidRDefault="00485F2E" w:rsidP="00485F2E">
            <w:pPr>
              <w:autoSpaceDE w:val="0"/>
              <w:autoSpaceDN w:val="0"/>
              <w:adjustRightInd w:val="0"/>
              <w:rPr>
                <w:color w:val="000000"/>
                <w:sz w:val="20"/>
                <w:szCs w:val="20"/>
              </w:rPr>
            </w:pPr>
          </w:p>
          <w:p w14:paraId="1224A81B" w14:textId="436005DC" w:rsidR="00485F2E" w:rsidRPr="00A32BB8" w:rsidRDefault="00485F2E" w:rsidP="00485F2E">
            <w:pPr>
              <w:autoSpaceDE w:val="0"/>
              <w:autoSpaceDN w:val="0"/>
              <w:adjustRightInd w:val="0"/>
              <w:rPr>
                <w:rFonts w:ascii="Arial" w:hAnsi="Arial" w:cs="Arial"/>
                <w:i/>
                <w:iCs/>
                <w:color w:val="000000"/>
                <w:sz w:val="20"/>
                <w:szCs w:val="20"/>
              </w:rPr>
            </w:pPr>
            <w:r w:rsidRPr="00A32BB8">
              <w:rPr>
                <w:rFonts w:ascii="Arial" w:hAnsi="Arial" w:cs="Arial"/>
                <w:i/>
                <w:iCs/>
                <w:color w:val="000000"/>
                <w:sz w:val="20"/>
                <w:szCs w:val="20"/>
              </w:rPr>
              <w:t>*The National School for Healthcare Science (NSHCS) in conjunction with the Royal College of Pathologists (</w:t>
            </w:r>
            <w:proofErr w:type="spellStart"/>
            <w:r w:rsidRPr="00A32BB8">
              <w:rPr>
                <w:rFonts w:ascii="Arial" w:hAnsi="Arial" w:cs="Arial"/>
                <w:i/>
                <w:iCs/>
                <w:color w:val="000000"/>
                <w:sz w:val="20"/>
                <w:szCs w:val="20"/>
              </w:rPr>
              <w:t>RCPath</w:t>
            </w:r>
            <w:proofErr w:type="spellEnd"/>
            <w:r w:rsidRPr="00A32BB8">
              <w:rPr>
                <w:rFonts w:ascii="Arial" w:hAnsi="Arial" w:cs="Arial"/>
                <w:i/>
                <w:iCs/>
                <w:color w:val="000000"/>
                <w:sz w:val="20"/>
                <w:szCs w:val="20"/>
              </w:rPr>
              <w:t xml:space="preserve"> has updated the Scientist Training Program (STP) </w:t>
            </w:r>
            <w:r w:rsidRPr="00A32BB8">
              <w:rPr>
                <w:rFonts w:ascii="Arial" w:hAnsi="Arial" w:cs="Arial"/>
                <w:i/>
                <w:iCs/>
                <w:color w:val="000000"/>
                <w:sz w:val="20"/>
                <w:szCs w:val="20"/>
              </w:rPr>
              <w:lastRenderedPageBreak/>
              <w:t xml:space="preserve">curriculum and widened biomedical scientist (BMS) entry criteria for the </w:t>
            </w:r>
            <w:r w:rsidRPr="00A32BB8">
              <w:rPr>
                <w:i/>
                <w:iCs/>
                <w:color w:val="000000"/>
                <w:sz w:val="20"/>
                <w:szCs w:val="20"/>
              </w:rPr>
              <w:t>Higher Specialist Scientist Training</w:t>
            </w:r>
            <w:r w:rsidRPr="00A32BB8">
              <w:rPr>
                <w:rFonts w:ascii="Arial" w:hAnsi="Arial" w:cs="Arial"/>
                <w:i/>
                <w:iCs/>
                <w:color w:val="000000"/>
                <w:sz w:val="20"/>
                <w:szCs w:val="20"/>
              </w:rPr>
              <w:t xml:space="preserve"> (HSST) training program for Haematology and Transfusion Science</w:t>
            </w:r>
          </w:p>
        </w:tc>
        <w:tc>
          <w:tcPr>
            <w:tcW w:w="4353" w:type="dxa"/>
          </w:tcPr>
          <w:p w14:paraId="2351CDBB" w14:textId="3AF5E4D8" w:rsidR="00B67CB5" w:rsidRPr="0001075E" w:rsidRDefault="00485F2E" w:rsidP="00485F2E">
            <w:pPr>
              <w:autoSpaceDE w:val="0"/>
              <w:autoSpaceDN w:val="0"/>
              <w:adjustRightInd w:val="0"/>
              <w:spacing w:after="100" w:line="241" w:lineRule="atLeast"/>
              <w:rPr>
                <w:rStyle w:val="A9"/>
                <w:rFonts w:ascii="Arial" w:hAnsi="Arial" w:cs="Arial"/>
                <w:u w:val="none"/>
              </w:rPr>
            </w:pPr>
            <w:r w:rsidRPr="0001075E">
              <w:rPr>
                <w:rStyle w:val="A9"/>
                <w:rFonts w:ascii="Arial" w:hAnsi="Arial" w:cs="Arial"/>
                <w:u w:val="none"/>
              </w:rPr>
              <w:lastRenderedPageBreak/>
              <w:t xml:space="preserve">Support training and </w:t>
            </w:r>
            <w:r w:rsidRPr="0001075E">
              <w:rPr>
                <w:rFonts w:ascii="Arial" w:hAnsi="Arial" w:cs="Arial"/>
                <w:color w:val="000000"/>
                <w:sz w:val="20"/>
                <w:szCs w:val="20"/>
              </w:rPr>
              <w:t>continuing professional development for all transfusion laboratory staff within hospitals.</w:t>
            </w:r>
          </w:p>
          <w:p w14:paraId="7CEEBA07" w14:textId="0658FE73" w:rsidR="00B67CB5" w:rsidRPr="0001075E" w:rsidRDefault="00B67CB5" w:rsidP="002F1570">
            <w:pPr>
              <w:pStyle w:val="Default"/>
              <w:spacing w:line="201" w:lineRule="atLeast"/>
              <w:rPr>
                <w:rStyle w:val="A9"/>
                <w:rFonts w:ascii="Arial" w:hAnsi="Arial" w:cs="Arial"/>
                <w:u w:val="none"/>
              </w:rPr>
            </w:pPr>
            <w:r w:rsidRPr="0001075E">
              <w:rPr>
                <w:rStyle w:val="A9"/>
                <w:rFonts w:ascii="Arial" w:hAnsi="Arial" w:cs="Arial"/>
                <w:u w:val="none"/>
              </w:rPr>
              <w:t>Explore further development of Consultant Clinical Scientists posts within Trusts and Pathology networks and in partnership with NHSBT</w:t>
            </w:r>
          </w:p>
        </w:tc>
        <w:tc>
          <w:tcPr>
            <w:tcW w:w="1378" w:type="dxa"/>
          </w:tcPr>
          <w:p w14:paraId="6D63898A" w14:textId="77777777" w:rsidR="00B67CB5" w:rsidRPr="0001075E" w:rsidRDefault="00B67CB5" w:rsidP="002F1570">
            <w:pPr>
              <w:rPr>
                <w:rFonts w:ascii="Arial" w:hAnsi="Arial" w:cs="Arial"/>
              </w:rPr>
            </w:pPr>
          </w:p>
        </w:tc>
      </w:tr>
      <w:tr w:rsidR="00B67CB5" w:rsidRPr="0001075E" w14:paraId="7A81695A" w14:textId="77777777" w:rsidTr="00A32BB8">
        <w:tc>
          <w:tcPr>
            <w:tcW w:w="1555" w:type="dxa"/>
            <w:vMerge w:val="restart"/>
          </w:tcPr>
          <w:p w14:paraId="08E924DC" w14:textId="77777777" w:rsidR="00B67CB5" w:rsidRPr="0001075E" w:rsidRDefault="00B67CB5" w:rsidP="002F1570">
            <w:pPr>
              <w:pStyle w:val="Pa7"/>
              <w:spacing w:after="40"/>
              <w:rPr>
                <w:rFonts w:ascii="Arial" w:hAnsi="Arial" w:cs="Arial"/>
                <w:color w:val="000000" w:themeColor="text1"/>
                <w:sz w:val="20"/>
                <w:szCs w:val="20"/>
              </w:rPr>
            </w:pPr>
            <w:r w:rsidRPr="0001075E">
              <w:rPr>
                <w:rFonts w:ascii="Arial" w:hAnsi="Arial" w:cs="Arial"/>
                <w:b/>
                <w:bCs/>
                <w:color w:val="000000" w:themeColor="text1"/>
                <w:sz w:val="20"/>
                <w:szCs w:val="20"/>
              </w:rPr>
              <w:t>Pathology networks</w:t>
            </w:r>
          </w:p>
          <w:p w14:paraId="7337C3D1" w14:textId="77777777" w:rsidR="00B67CB5" w:rsidRPr="0001075E" w:rsidRDefault="00B67CB5" w:rsidP="002F1570">
            <w:pPr>
              <w:rPr>
                <w:rFonts w:ascii="Arial" w:hAnsi="Arial" w:cs="Arial"/>
              </w:rPr>
            </w:pPr>
          </w:p>
        </w:tc>
        <w:tc>
          <w:tcPr>
            <w:tcW w:w="2409" w:type="dxa"/>
            <w:vMerge w:val="restart"/>
          </w:tcPr>
          <w:p w14:paraId="3D601619" w14:textId="5F12B29E" w:rsidR="00B67CB5" w:rsidRPr="0001075E" w:rsidRDefault="00B67CB5" w:rsidP="002F1570">
            <w:pPr>
              <w:pStyle w:val="Pa7"/>
              <w:rPr>
                <w:rFonts w:ascii="Arial" w:hAnsi="Arial" w:cs="Arial"/>
                <w:color w:val="000000" w:themeColor="text1"/>
                <w:sz w:val="20"/>
                <w:szCs w:val="20"/>
              </w:rPr>
            </w:pPr>
            <w:r w:rsidRPr="0001075E">
              <w:rPr>
                <w:rFonts w:ascii="Arial" w:hAnsi="Arial" w:cs="Arial"/>
                <w:color w:val="000000" w:themeColor="text1"/>
                <w:sz w:val="20"/>
                <w:szCs w:val="20"/>
              </w:rPr>
              <w:t>Development of defined standards for laboratory transfusion practice</w:t>
            </w:r>
            <w:r w:rsidR="00137EA7" w:rsidRPr="0001075E">
              <w:rPr>
                <w:rFonts w:ascii="Arial" w:hAnsi="Arial" w:cs="Arial"/>
                <w:color w:val="000000" w:themeColor="text1"/>
                <w:sz w:val="20"/>
                <w:szCs w:val="20"/>
              </w:rPr>
              <w:t>.</w:t>
            </w:r>
          </w:p>
          <w:p w14:paraId="2A3C8996" w14:textId="77777777" w:rsidR="00B67CB5" w:rsidRPr="0001075E"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 xml:space="preserve">Inclusion and review of blood usage/wastage data across networks </w:t>
            </w:r>
          </w:p>
          <w:p w14:paraId="6F77046C" w14:textId="77777777" w:rsidR="00B67CB5" w:rsidRPr="0001075E" w:rsidRDefault="00B67CB5" w:rsidP="002F1570">
            <w:pPr>
              <w:rPr>
                <w:rFonts w:ascii="Arial" w:hAnsi="Arial" w:cs="Arial"/>
                <w:color w:val="000000" w:themeColor="text1"/>
                <w:sz w:val="20"/>
                <w:szCs w:val="20"/>
              </w:rPr>
            </w:pPr>
          </w:p>
          <w:p w14:paraId="43F1A7A2" w14:textId="7129CEE0" w:rsidR="00B67CB5" w:rsidRPr="0001075E" w:rsidRDefault="00B67CB5" w:rsidP="002F1570">
            <w:pPr>
              <w:rPr>
                <w:rFonts w:ascii="Arial" w:hAnsi="Arial" w:cs="Arial"/>
                <w:b/>
                <w:bCs/>
                <w:color w:val="000000" w:themeColor="text1"/>
                <w:sz w:val="20"/>
                <w:szCs w:val="20"/>
              </w:rPr>
            </w:pPr>
          </w:p>
        </w:tc>
        <w:tc>
          <w:tcPr>
            <w:tcW w:w="4253" w:type="dxa"/>
            <w:vMerge w:val="restart"/>
          </w:tcPr>
          <w:p w14:paraId="28B8CA32" w14:textId="77777777" w:rsidR="00B67CB5" w:rsidRPr="0001075E" w:rsidRDefault="00B67CB5" w:rsidP="002F1570">
            <w:pPr>
              <w:rPr>
                <w:rFonts w:ascii="Arial" w:hAnsi="Arial" w:cs="Arial"/>
                <w:color w:val="000000" w:themeColor="text1"/>
                <w:sz w:val="20"/>
                <w:szCs w:val="20"/>
              </w:rPr>
            </w:pPr>
          </w:p>
          <w:p w14:paraId="3F645DBC" w14:textId="78A6E874" w:rsidR="00007E5B" w:rsidRPr="0001075E" w:rsidRDefault="00007E5B" w:rsidP="002F1570">
            <w:pPr>
              <w:rPr>
                <w:rFonts w:ascii="Arial" w:hAnsi="Arial" w:cs="Arial"/>
                <w:color w:val="000000" w:themeColor="text1"/>
                <w:sz w:val="20"/>
                <w:szCs w:val="20"/>
              </w:rPr>
            </w:pPr>
            <w:r w:rsidRPr="0001075E">
              <w:rPr>
                <w:rFonts w:ascii="Arial" w:hAnsi="Arial" w:cs="Arial"/>
                <w:color w:val="000000" w:themeColor="text1"/>
                <w:sz w:val="20"/>
                <w:szCs w:val="20"/>
              </w:rPr>
              <w:t xml:space="preserve">UKTLC standards have been </w:t>
            </w:r>
            <w:r w:rsidR="00387390" w:rsidRPr="0001075E">
              <w:rPr>
                <w:rFonts w:ascii="Arial" w:hAnsi="Arial" w:cs="Arial"/>
                <w:color w:val="000000" w:themeColor="text1"/>
                <w:sz w:val="20"/>
                <w:szCs w:val="20"/>
              </w:rPr>
              <w:t>updated.</w:t>
            </w:r>
          </w:p>
          <w:p w14:paraId="6C7ED794" w14:textId="592146DE" w:rsidR="00007E5B" w:rsidRPr="0001075E" w:rsidRDefault="00000000" w:rsidP="002F1570">
            <w:pPr>
              <w:rPr>
                <w:rFonts w:ascii="Arial" w:hAnsi="Arial" w:cs="Arial"/>
                <w:color w:val="4472C4" w:themeColor="accent1"/>
                <w:sz w:val="20"/>
                <w:szCs w:val="20"/>
              </w:rPr>
            </w:pPr>
            <w:hyperlink r:id="rId41" w:history="1">
              <w:r w:rsidR="00007E5B" w:rsidRPr="0001075E">
                <w:rPr>
                  <w:rStyle w:val="Hyperlink"/>
                  <w:rFonts w:ascii="Arial" w:hAnsi="Arial" w:cs="Arial"/>
                  <w:color w:val="4472C4" w:themeColor="accent1"/>
                  <w:sz w:val="20"/>
                  <w:szCs w:val="20"/>
                </w:rPr>
                <w:t>https://www.shotuk.org/UK-TLC-Standards-2023</w:t>
              </w:r>
            </w:hyperlink>
          </w:p>
          <w:p w14:paraId="7480557A" w14:textId="7D6EAECE" w:rsidR="00007E5B" w:rsidRPr="0001075E" w:rsidRDefault="00007E5B" w:rsidP="002F1570">
            <w:pPr>
              <w:rPr>
                <w:rFonts w:ascii="Arial" w:hAnsi="Arial" w:cs="Arial"/>
                <w:color w:val="000000" w:themeColor="text1"/>
                <w:sz w:val="20"/>
                <w:szCs w:val="20"/>
              </w:rPr>
            </w:pPr>
          </w:p>
          <w:p w14:paraId="1A350648" w14:textId="06D88326" w:rsidR="00270A38" w:rsidRPr="0001075E" w:rsidRDefault="00000000" w:rsidP="002F1570">
            <w:pPr>
              <w:rPr>
                <w:rFonts w:ascii="Arial" w:hAnsi="Arial" w:cs="Arial"/>
                <w:color w:val="000000" w:themeColor="text1"/>
                <w:sz w:val="20"/>
                <w:szCs w:val="20"/>
              </w:rPr>
            </w:pPr>
            <w:hyperlink r:id="rId42" w:history="1">
              <w:r w:rsidR="00270A38" w:rsidRPr="0001075E">
                <w:rPr>
                  <w:rStyle w:val="Hyperlink"/>
                  <w:rFonts w:ascii="Arial" w:hAnsi="Arial" w:cs="Arial"/>
                  <w:sz w:val="20"/>
                  <w:szCs w:val="20"/>
                </w:rPr>
                <w:t>https://www.shotuk.org/wp-content/uploads/myimages/LIMS-Suppliers-Survey-2021-Summary-Report.pdf</w:t>
              </w:r>
            </w:hyperlink>
            <w:r w:rsidR="00270A38" w:rsidRPr="0001075E">
              <w:rPr>
                <w:rFonts w:ascii="Arial" w:hAnsi="Arial" w:cs="Arial"/>
                <w:color w:val="000000" w:themeColor="text1"/>
                <w:sz w:val="20"/>
                <w:szCs w:val="20"/>
              </w:rPr>
              <w:t xml:space="preserve"> </w:t>
            </w:r>
          </w:p>
          <w:p w14:paraId="3B2BF53D" w14:textId="77777777" w:rsidR="00270A38" w:rsidRPr="0001075E" w:rsidRDefault="00270A38" w:rsidP="002F1570">
            <w:pPr>
              <w:rPr>
                <w:rFonts w:ascii="Arial" w:hAnsi="Arial" w:cs="Arial"/>
                <w:color w:val="000000" w:themeColor="text1"/>
                <w:sz w:val="20"/>
                <w:szCs w:val="20"/>
              </w:rPr>
            </w:pPr>
          </w:p>
          <w:p w14:paraId="6DD83A00" w14:textId="333463A3" w:rsidR="00B67CB5" w:rsidRPr="00313ED6" w:rsidRDefault="00E43437" w:rsidP="002F1570">
            <w:pPr>
              <w:rPr>
                <w:rFonts w:ascii="Arial" w:hAnsi="Arial" w:cs="Arial"/>
                <w:color w:val="000000" w:themeColor="text1"/>
                <w:sz w:val="20"/>
                <w:szCs w:val="20"/>
              </w:rPr>
            </w:pPr>
            <w:proofErr w:type="spellStart"/>
            <w:r w:rsidRPr="0001075E">
              <w:rPr>
                <w:rFonts w:ascii="Arial" w:hAnsi="Arial" w:cs="Arial"/>
                <w:color w:val="000000" w:themeColor="text1"/>
                <w:sz w:val="20"/>
                <w:szCs w:val="20"/>
              </w:rPr>
              <w:t>RCPath</w:t>
            </w:r>
            <w:proofErr w:type="spellEnd"/>
            <w:r w:rsidRPr="0001075E">
              <w:rPr>
                <w:rFonts w:ascii="Arial" w:hAnsi="Arial" w:cs="Arial"/>
                <w:color w:val="000000" w:themeColor="text1"/>
                <w:sz w:val="20"/>
                <w:szCs w:val="20"/>
              </w:rPr>
              <w:t xml:space="preserve">, NBTC and SHOT </w:t>
            </w:r>
            <w:r w:rsidR="00007E5B" w:rsidRPr="0001075E">
              <w:rPr>
                <w:rFonts w:ascii="Arial" w:hAnsi="Arial" w:cs="Arial"/>
                <w:color w:val="000000" w:themeColor="text1"/>
                <w:sz w:val="20"/>
                <w:szCs w:val="20"/>
              </w:rPr>
              <w:t xml:space="preserve">to incorporate principles in developing </w:t>
            </w:r>
            <w:r w:rsidR="00485F2E" w:rsidRPr="0001075E">
              <w:rPr>
                <w:rFonts w:ascii="Arial" w:hAnsi="Arial" w:cs="Arial"/>
                <w:color w:val="000000" w:themeColor="text1"/>
                <w:sz w:val="20"/>
                <w:szCs w:val="20"/>
              </w:rPr>
              <w:t xml:space="preserve">transfusion </w:t>
            </w:r>
            <w:r w:rsidRPr="0001075E">
              <w:rPr>
                <w:rFonts w:ascii="Arial" w:hAnsi="Arial" w:cs="Arial"/>
                <w:color w:val="000000" w:themeColor="text1"/>
                <w:sz w:val="20"/>
                <w:szCs w:val="20"/>
              </w:rPr>
              <w:t>standards for Pathology netw</w:t>
            </w:r>
            <w:r w:rsidR="00007E5B" w:rsidRPr="0001075E">
              <w:rPr>
                <w:rFonts w:ascii="Arial" w:hAnsi="Arial" w:cs="Arial"/>
                <w:color w:val="000000" w:themeColor="text1"/>
                <w:sz w:val="20"/>
                <w:szCs w:val="20"/>
              </w:rPr>
              <w:t xml:space="preserve">orks in collaboration with NHSE </w:t>
            </w:r>
          </w:p>
        </w:tc>
        <w:tc>
          <w:tcPr>
            <w:tcW w:w="4353" w:type="dxa"/>
          </w:tcPr>
          <w:p w14:paraId="1B35FDD3" w14:textId="77777777" w:rsidR="00B67CB5" w:rsidRPr="0001075E"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Review provision of transfusion services aligned to Pathology Networks</w:t>
            </w:r>
          </w:p>
          <w:p w14:paraId="015749D1" w14:textId="77777777" w:rsidR="00B67CB5" w:rsidRPr="0001075E" w:rsidRDefault="00B67CB5" w:rsidP="002F1570">
            <w:pPr>
              <w:spacing w:line="259" w:lineRule="auto"/>
              <w:rPr>
                <w:rFonts w:ascii="Arial" w:eastAsiaTheme="minorEastAsia" w:hAnsi="Arial" w:cs="Arial"/>
                <w:color w:val="000000" w:themeColor="text1"/>
                <w:sz w:val="20"/>
                <w:szCs w:val="20"/>
              </w:rPr>
            </w:pPr>
          </w:p>
        </w:tc>
        <w:tc>
          <w:tcPr>
            <w:tcW w:w="1378" w:type="dxa"/>
          </w:tcPr>
          <w:p w14:paraId="0CB79951" w14:textId="77777777" w:rsidR="00B67CB5" w:rsidRPr="0001075E" w:rsidRDefault="00B67CB5" w:rsidP="002F1570">
            <w:pPr>
              <w:rPr>
                <w:rFonts w:ascii="Arial" w:hAnsi="Arial" w:cs="Arial"/>
                <w:color w:val="000000" w:themeColor="text1"/>
                <w:highlight w:val="yellow"/>
              </w:rPr>
            </w:pPr>
          </w:p>
        </w:tc>
      </w:tr>
      <w:tr w:rsidR="00B67CB5" w:rsidRPr="0001075E" w14:paraId="4902529D" w14:textId="77777777" w:rsidTr="00A32BB8">
        <w:tc>
          <w:tcPr>
            <w:tcW w:w="1555" w:type="dxa"/>
            <w:vMerge/>
          </w:tcPr>
          <w:p w14:paraId="51B39E7D" w14:textId="77777777" w:rsidR="00B67CB5" w:rsidRPr="0001075E" w:rsidRDefault="00B67CB5" w:rsidP="002F1570">
            <w:pPr>
              <w:rPr>
                <w:rFonts w:ascii="Arial" w:hAnsi="Arial" w:cs="Arial"/>
              </w:rPr>
            </w:pPr>
          </w:p>
        </w:tc>
        <w:tc>
          <w:tcPr>
            <w:tcW w:w="2409" w:type="dxa"/>
            <w:vMerge/>
          </w:tcPr>
          <w:p w14:paraId="72D3FC25" w14:textId="77777777" w:rsidR="00B67CB5" w:rsidRPr="0001075E" w:rsidRDefault="00B67CB5" w:rsidP="002F1570">
            <w:pPr>
              <w:rPr>
                <w:rFonts w:ascii="Arial" w:hAnsi="Arial" w:cs="Arial"/>
              </w:rPr>
            </w:pPr>
          </w:p>
        </w:tc>
        <w:tc>
          <w:tcPr>
            <w:tcW w:w="4253" w:type="dxa"/>
            <w:vMerge/>
          </w:tcPr>
          <w:p w14:paraId="497D165F" w14:textId="77777777" w:rsidR="00B67CB5" w:rsidRPr="0001075E" w:rsidRDefault="00B67CB5" w:rsidP="002F1570">
            <w:pPr>
              <w:rPr>
                <w:rFonts w:ascii="Arial" w:hAnsi="Arial" w:cs="Arial"/>
              </w:rPr>
            </w:pPr>
          </w:p>
        </w:tc>
        <w:tc>
          <w:tcPr>
            <w:tcW w:w="4353" w:type="dxa"/>
          </w:tcPr>
          <w:p w14:paraId="5ED008F6" w14:textId="29EFAD5F" w:rsidR="00B67CB5" w:rsidRPr="0001075E"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Review </w:t>
            </w:r>
            <w:r w:rsidR="00007E5B" w:rsidRPr="0001075E">
              <w:rPr>
                <w:rFonts w:ascii="Arial" w:eastAsiaTheme="minorEastAsia" w:hAnsi="Arial" w:cs="Arial"/>
                <w:color w:val="000000" w:themeColor="text1"/>
                <w:sz w:val="20"/>
                <w:szCs w:val="20"/>
              </w:rPr>
              <w:t>lab IT systems and explore NHSE</w:t>
            </w:r>
            <w:r w:rsidRPr="0001075E">
              <w:rPr>
                <w:rFonts w:ascii="Arial" w:eastAsiaTheme="minorEastAsia" w:hAnsi="Arial" w:cs="Arial"/>
                <w:color w:val="000000" w:themeColor="text1"/>
                <w:sz w:val="20"/>
                <w:szCs w:val="20"/>
              </w:rPr>
              <w:t xml:space="preserve"> funding opportunities for </w:t>
            </w:r>
            <w:r w:rsidR="00387390" w:rsidRPr="0001075E">
              <w:rPr>
                <w:rFonts w:ascii="Arial" w:eastAsiaTheme="minorEastAsia" w:hAnsi="Arial" w:cs="Arial"/>
                <w:color w:val="000000" w:themeColor="text1"/>
                <w:sz w:val="20"/>
                <w:szCs w:val="20"/>
              </w:rPr>
              <w:t>upgrade.</w:t>
            </w:r>
          </w:p>
          <w:p w14:paraId="6DF4A606" w14:textId="20BDA68A" w:rsidR="00B67CB5" w:rsidRPr="0001075E" w:rsidRDefault="00B67CB5" w:rsidP="002F1570">
            <w:pPr>
              <w:rPr>
                <w:rFonts w:ascii="Arial" w:hAnsi="Arial" w:cs="Arial"/>
                <w:color w:val="FF0000"/>
                <w:highlight w:val="yellow"/>
              </w:rPr>
            </w:pPr>
          </w:p>
        </w:tc>
        <w:tc>
          <w:tcPr>
            <w:tcW w:w="1378" w:type="dxa"/>
          </w:tcPr>
          <w:p w14:paraId="5D921A28" w14:textId="77777777" w:rsidR="00B67CB5" w:rsidRPr="0001075E" w:rsidRDefault="00B67CB5" w:rsidP="002F1570">
            <w:pPr>
              <w:rPr>
                <w:rFonts w:ascii="Arial" w:hAnsi="Arial" w:cs="Arial"/>
                <w:color w:val="000000" w:themeColor="text1"/>
                <w:highlight w:val="yellow"/>
              </w:rPr>
            </w:pPr>
          </w:p>
        </w:tc>
      </w:tr>
      <w:tr w:rsidR="00B67CB5" w:rsidRPr="0001075E" w14:paraId="39F0BD1C" w14:textId="77777777" w:rsidTr="00A32BB8">
        <w:tc>
          <w:tcPr>
            <w:tcW w:w="1555" w:type="dxa"/>
            <w:vMerge/>
          </w:tcPr>
          <w:p w14:paraId="792821F4" w14:textId="77777777" w:rsidR="00B67CB5" w:rsidRPr="0001075E" w:rsidRDefault="00B67CB5" w:rsidP="002F1570">
            <w:pPr>
              <w:rPr>
                <w:rFonts w:ascii="Arial" w:hAnsi="Arial" w:cs="Arial"/>
              </w:rPr>
            </w:pPr>
          </w:p>
        </w:tc>
        <w:tc>
          <w:tcPr>
            <w:tcW w:w="2409" w:type="dxa"/>
            <w:vMerge/>
          </w:tcPr>
          <w:p w14:paraId="13AB9471" w14:textId="77777777" w:rsidR="00B67CB5" w:rsidRPr="0001075E" w:rsidRDefault="00B67CB5" w:rsidP="002F1570">
            <w:pPr>
              <w:rPr>
                <w:rFonts w:ascii="Arial" w:hAnsi="Arial" w:cs="Arial"/>
                <w:b/>
                <w:bCs/>
                <w:color w:val="000000"/>
                <w:sz w:val="20"/>
                <w:szCs w:val="20"/>
              </w:rPr>
            </w:pPr>
          </w:p>
        </w:tc>
        <w:tc>
          <w:tcPr>
            <w:tcW w:w="4253" w:type="dxa"/>
            <w:vMerge/>
          </w:tcPr>
          <w:p w14:paraId="386A5DD6" w14:textId="77777777" w:rsidR="00B67CB5" w:rsidRPr="0001075E" w:rsidRDefault="00B67CB5" w:rsidP="002F1570">
            <w:pPr>
              <w:rPr>
                <w:rFonts w:ascii="Arial" w:hAnsi="Arial" w:cs="Arial"/>
              </w:rPr>
            </w:pPr>
          </w:p>
        </w:tc>
        <w:tc>
          <w:tcPr>
            <w:tcW w:w="4353" w:type="dxa"/>
          </w:tcPr>
          <w:p w14:paraId="639EA9B7" w14:textId="36309D3B" w:rsidR="00B67CB5" w:rsidRDefault="00B67CB5" w:rsidP="002F1570">
            <w:pPr>
              <w:spacing w:line="259" w:lineRule="auto"/>
              <w:rPr>
                <w:rFonts w:ascii="Arial" w:eastAsiaTheme="minorEastAsia" w:hAnsi="Arial" w:cs="Arial"/>
                <w:color w:val="000000" w:themeColor="text1"/>
                <w:sz w:val="20"/>
                <w:szCs w:val="20"/>
              </w:rPr>
            </w:pPr>
            <w:r w:rsidRPr="0001075E">
              <w:rPr>
                <w:rFonts w:ascii="Arial" w:eastAsiaTheme="minorEastAsia" w:hAnsi="Arial" w:cs="Arial"/>
                <w:color w:val="000000" w:themeColor="text1"/>
                <w:sz w:val="20"/>
                <w:szCs w:val="20"/>
              </w:rPr>
              <w:t xml:space="preserve">Active participation in the Blood Stocks Management Scheme (BSMS) and regular input of use and wastage data </w:t>
            </w:r>
          </w:p>
          <w:p w14:paraId="020CBA47" w14:textId="77777777" w:rsidR="00387390" w:rsidRPr="0001075E" w:rsidRDefault="00387390" w:rsidP="002F1570">
            <w:pPr>
              <w:spacing w:line="259" w:lineRule="auto"/>
              <w:rPr>
                <w:rFonts w:ascii="Arial" w:hAnsi="Arial" w:cs="Arial"/>
                <w:color w:val="000000" w:themeColor="text1"/>
                <w:sz w:val="20"/>
                <w:szCs w:val="20"/>
              </w:rPr>
            </w:pPr>
          </w:p>
          <w:p w14:paraId="58E1BC8D" w14:textId="77777777" w:rsidR="00B67CB5" w:rsidRPr="0001075E" w:rsidRDefault="00000000" w:rsidP="002F1570">
            <w:pPr>
              <w:rPr>
                <w:rFonts w:ascii="Arial" w:hAnsi="Arial" w:cs="Arial"/>
                <w:color w:val="0563C1" w:themeColor="hyperlink"/>
                <w:sz w:val="20"/>
                <w:szCs w:val="20"/>
                <w:u w:val="single"/>
              </w:rPr>
            </w:pPr>
            <w:hyperlink r:id="rId43" w:history="1">
              <w:r w:rsidR="00B67CB5" w:rsidRPr="0001075E">
                <w:rPr>
                  <w:rStyle w:val="Hyperlink"/>
                  <w:rFonts w:ascii="Arial" w:hAnsi="Arial" w:cs="Arial"/>
                  <w:sz w:val="20"/>
                  <w:szCs w:val="20"/>
                </w:rPr>
                <w:t>https://www.bloodstocks.co.uk/</w:t>
              </w:r>
            </w:hyperlink>
          </w:p>
        </w:tc>
        <w:tc>
          <w:tcPr>
            <w:tcW w:w="1378" w:type="dxa"/>
          </w:tcPr>
          <w:p w14:paraId="670B5CB7" w14:textId="77777777" w:rsidR="00B67CB5" w:rsidRPr="0001075E" w:rsidRDefault="00B67CB5" w:rsidP="002F1570">
            <w:pPr>
              <w:autoSpaceDE w:val="0"/>
              <w:autoSpaceDN w:val="0"/>
              <w:adjustRightInd w:val="0"/>
              <w:spacing w:after="51"/>
              <w:rPr>
                <w:rFonts w:ascii="Arial" w:hAnsi="Arial" w:cs="Arial"/>
                <w:color w:val="000000"/>
              </w:rPr>
            </w:pPr>
          </w:p>
        </w:tc>
      </w:tr>
      <w:tr w:rsidR="00B67CB5" w:rsidRPr="0001075E" w14:paraId="17014CE4" w14:textId="77777777" w:rsidTr="00A32BB8">
        <w:tc>
          <w:tcPr>
            <w:tcW w:w="1555" w:type="dxa"/>
          </w:tcPr>
          <w:p w14:paraId="6393B2D6" w14:textId="77777777" w:rsidR="00B67CB5" w:rsidRPr="0001075E" w:rsidRDefault="00B67CB5" w:rsidP="002F1570">
            <w:pPr>
              <w:pStyle w:val="Pa7"/>
              <w:spacing w:after="40"/>
              <w:rPr>
                <w:rFonts w:ascii="Arial" w:hAnsi="Arial" w:cs="Arial"/>
                <w:b/>
                <w:bCs/>
                <w:color w:val="000000" w:themeColor="text1"/>
                <w:sz w:val="20"/>
                <w:szCs w:val="20"/>
              </w:rPr>
            </w:pPr>
            <w:r w:rsidRPr="0001075E">
              <w:rPr>
                <w:rFonts w:ascii="Arial" w:hAnsi="Arial" w:cs="Arial"/>
                <w:b/>
                <w:bCs/>
                <w:color w:val="000000" w:themeColor="text1"/>
                <w:sz w:val="20"/>
                <w:szCs w:val="20"/>
              </w:rPr>
              <w:t>Adverse event reporting</w:t>
            </w:r>
          </w:p>
        </w:tc>
        <w:tc>
          <w:tcPr>
            <w:tcW w:w="2409" w:type="dxa"/>
          </w:tcPr>
          <w:p w14:paraId="3440A983" w14:textId="77777777" w:rsidR="00B67CB5" w:rsidRPr="0001075E" w:rsidRDefault="00B67CB5" w:rsidP="002F1570">
            <w:pPr>
              <w:pStyle w:val="Pa7"/>
              <w:spacing w:after="40"/>
              <w:rPr>
                <w:rFonts w:ascii="Arial" w:hAnsi="Arial" w:cs="Arial"/>
                <w:color w:val="000000" w:themeColor="text1"/>
                <w:sz w:val="20"/>
                <w:szCs w:val="20"/>
              </w:rPr>
            </w:pPr>
            <w:r w:rsidRPr="0001075E">
              <w:rPr>
                <w:rFonts w:ascii="Arial" w:hAnsi="Arial" w:cs="Arial"/>
                <w:color w:val="000000" w:themeColor="text1"/>
                <w:sz w:val="20"/>
                <w:szCs w:val="20"/>
              </w:rPr>
              <w:t>Promote a culture where all staff involved with transfusion are supported in highlighting and reporting adverse events.</w:t>
            </w:r>
          </w:p>
        </w:tc>
        <w:tc>
          <w:tcPr>
            <w:tcW w:w="4253" w:type="dxa"/>
          </w:tcPr>
          <w:p w14:paraId="75619AA3" w14:textId="77777777" w:rsidR="00A32BB8" w:rsidRDefault="00A32BB8" w:rsidP="002F1570">
            <w:pPr>
              <w:rPr>
                <w:rFonts w:ascii="Arial" w:hAnsi="Arial" w:cs="Arial"/>
              </w:rPr>
            </w:pPr>
          </w:p>
          <w:p w14:paraId="2FB3E467" w14:textId="3332A85C" w:rsidR="00B67CB5" w:rsidRDefault="00000000" w:rsidP="002F1570">
            <w:pPr>
              <w:rPr>
                <w:rStyle w:val="Hyperlink"/>
                <w:rFonts w:ascii="Arial" w:hAnsi="Arial" w:cs="Arial"/>
                <w:sz w:val="20"/>
                <w:szCs w:val="20"/>
              </w:rPr>
            </w:pPr>
            <w:hyperlink r:id="rId44">
              <w:r w:rsidR="00B67CB5" w:rsidRPr="0001075E">
                <w:rPr>
                  <w:rStyle w:val="Hyperlink"/>
                  <w:rFonts w:ascii="Arial" w:hAnsi="Arial" w:cs="Arial"/>
                  <w:sz w:val="20"/>
                  <w:szCs w:val="20"/>
                </w:rPr>
                <w:t>UK Transfusion laboratories culture survey report 2019</w:t>
              </w:r>
            </w:hyperlink>
          </w:p>
          <w:p w14:paraId="39719C47" w14:textId="77777777" w:rsidR="00A32BB8" w:rsidRPr="0001075E" w:rsidRDefault="00A32BB8" w:rsidP="002F1570">
            <w:pPr>
              <w:rPr>
                <w:rFonts w:ascii="Arial" w:hAnsi="Arial" w:cs="Arial"/>
                <w:sz w:val="20"/>
                <w:szCs w:val="20"/>
              </w:rPr>
            </w:pPr>
          </w:p>
          <w:p w14:paraId="234E06C8" w14:textId="568514E0" w:rsidR="00B67CB5" w:rsidRDefault="00000000" w:rsidP="002F1570">
            <w:pPr>
              <w:rPr>
                <w:rStyle w:val="Hyperlink"/>
                <w:rFonts w:ascii="Arial" w:hAnsi="Arial" w:cs="Arial"/>
                <w:sz w:val="20"/>
                <w:szCs w:val="20"/>
              </w:rPr>
            </w:pPr>
            <w:hyperlink r:id="rId45">
              <w:r w:rsidR="00B67CB5" w:rsidRPr="0001075E">
                <w:rPr>
                  <w:rStyle w:val="Hyperlink"/>
                  <w:rFonts w:ascii="Arial" w:hAnsi="Arial" w:cs="Arial"/>
                  <w:sz w:val="20"/>
                  <w:szCs w:val="20"/>
                </w:rPr>
                <w:t>SHOT laboratory reporting guide</w:t>
              </w:r>
            </w:hyperlink>
          </w:p>
          <w:p w14:paraId="4A7EC159" w14:textId="77777777" w:rsidR="00A32BB8" w:rsidRPr="0001075E" w:rsidRDefault="00A32BB8" w:rsidP="002F1570">
            <w:pPr>
              <w:rPr>
                <w:rFonts w:ascii="Arial" w:hAnsi="Arial" w:cs="Arial"/>
                <w:color w:val="000000" w:themeColor="text1"/>
                <w:sz w:val="20"/>
                <w:szCs w:val="20"/>
              </w:rPr>
            </w:pPr>
          </w:p>
          <w:p w14:paraId="0366E573" w14:textId="7BCC435A" w:rsidR="00B67CB5" w:rsidRDefault="00000000" w:rsidP="002F1570">
            <w:pPr>
              <w:rPr>
                <w:rStyle w:val="Hyperlink"/>
                <w:rFonts w:ascii="Arial" w:hAnsi="Arial" w:cs="Arial"/>
                <w:sz w:val="20"/>
                <w:szCs w:val="20"/>
              </w:rPr>
            </w:pPr>
            <w:hyperlink r:id="rId46">
              <w:r w:rsidR="00B67CB5" w:rsidRPr="0001075E">
                <w:rPr>
                  <w:rStyle w:val="Hyperlink"/>
                  <w:rFonts w:ascii="Arial" w:hAnsi="Arial" w:cs="Arial"/>
                  <w:sz w:val="20"/>
                  <w:szCs w:val="20"/>
                </w:rPr>
                <w:t>SHOT Human factors tuition package</w:t>
              </w:r>
            </w:hyperlink>
          </w:p>
          <w:p w14:paraId="6640D399" w14:textId="77777777" w:rsidR="00A32BB8" w:rsidRPr="0001075E" w:rsidRDefault="00A32BB8" w:rsidP="002F1570">
            <w:pPr>
              <w:rPr>
                <w:rFonts w:ascii="Arial" w:hAnsi="Arial" w:cs="Arial"/>
                <w:sz w:val="20"/>
                <w:szCs w:val="20"/>
              </w:rPr>
            </w:pPr>
          </w:p>
          <w:p w14:paraId="1FF6AC34" w14:textId="600270D1" w:rsidR="00D81C17" w:rsidRDefault="00000000" w:rsidP="00D81C17">
            <w:pPr>
              <w:rPr>
                <w:rStyle w:val="Hyperlink"/>
                <w:rFonts w:ascii="Arial" w:hAnsi="Arial" w:cs="Arial"/>
                <w:sz w:val="20"/>
                <w:szCs w:val="20"/>
              </w:rPr>
            </w:pPr>
            <w:hyperlink r:id="rId47">
              <w:r w:rsidR="00B67CB5" w:rsidRPr="0001075E">
                <w:rPr>
                  <w:rStyle w:val="Hyperlink"/>
                  <w:rFonts w:ascii="Arial" w:hAnsi="Arial" w:cs="Arial"/>
                  <w:sz w:val="20"/>
                  <w:szCs w:val="20"/>
                </w:rPr>
                <w:t>SHOT Benchmarking</w:t>
              </w:r>
            </w:hyperlink>
          </w:p>
          <w:p w14:paraId="58AEF2C4" w14:textId="77777777" w:rsidR="00A32BB8" w:rsidRPr="0001075E" w:rsidRDefault="00A32BB8" w:rsidP="00D81C17">
            <w:pPr>
              <w:rPr>
                <w:rStyle w:val="Hyperlink"/>
                <w:rFonts w:ascii="Arial" w:hAnsi="Arial" w:cs="Arial"/>
                <w:sz w:val="20"/>
                <w:szCs w:val="20"/>
              </w:rPr>
            </w:pPr>
          </w:p>
          <w:p w14:paraId="28EA3621" w14:textId="3A205665" w:rsidR="00D81C17" w:rsidRDefault="00387390" w:rsidP="00D81C17">
            <w:pPr>
              <w:rPr>
                <w:rFonts w:ascii="Arial" w:hAnsi="Arial" w:cs="Arial"/>
                <w:color w:val="000000" w:themeColor="text1"/>
                <w:sz w:val="20"/>
                <w:szCs w:val="20"/>
              </w:rPr>
            </w:pPr>
            <w:hyperlink r:id="rId48" w:history="1">
              <w:r w:rsidR="00D81C17" w:rsidRPr="00387390">
                <w:rPr>
                  <w:rStyle w:val="Hyperlink"/>
                  <w:rFonts w:ascii="Arial" w:hAnsi="Arial" w:cs="Arial"/>
                  <w:sz w:val="20"/>
                  <w:szCs w:val="20"/>
                </w:rPr>
                <w:t>NHS Patient Safety Incident Response Framework</w:t>
              </w:r>
            </w:hyperlink>
          </w:p>
          <w:p w14:paraId="190BCA33" w14:textId="77777777" w:rsidR="00A32BB8" w:rsidRPr="0001075E" w:rsidRDefault="00A32BB8" w:rsidP="00D81C17">
            <w:pPr>
              <w:rPr>
                <w:rStyle w:val="Hyperlink"/>
                <w:rFonts w:ascii="Arial" w:hAnsi="Arial" w:cs="Arial"/>
                <w:sz w:val="20"/>
                <w:szCs w:val="20"/>
              </w:rPr>
            </w:pPr>
          </w:p>
          <w:p w14:paraId="49AA5EC5" w14:textId="77777777" w:rsidR="00A15DDA" w:rsidRDefault="00000000" w:rsidP="00A15DDA">
            <w:pPr>
              <w:textAlignment w:val="baseline"/>
              <w:outlineLvl w:val="2"/>
              <w:rPr>
                <w:rStyle w:val="Hyperlink"/>
                <w:rFonts w:ascii="Arial" w:hAnsi="Arial" w:cs="Arial"/>
                <w:sz w:val="20"/>
                <w:szCs w:val="20"/>
              </w:rPr>
            </w:pPr>
            <w:hyperlink r:id="rId49" w:history="1">
              <w:r w:rsidR="00D81C17" w:rsidRPr="0001075E">
                <w:rPr>
                  <w:rStyle w:val="Hyperlink"/>
                  <w:rFonts w:ascii="Arial" w:hAnsi="Arial" w:cs="Arial"/>
                  <w:sz w:val="20"/>
                  <w:szCs w:val="20"/>
                </w:rPr>
                <w:t>PSIRF and impact on haemovigilance in England</w:t>
              </w:r>
            </w:hyperlink>
          </w:p>
          <w:p w14:paraId="3244AA6A" w14:textId="0F4A61A7" w:rsidR="00A32BB8" w:rsidRDefault="00A32BB8" w:rsidP="00A15DDA">
            <w:pPr>
              <w:textAlignment w:val="baseline"/>
              <w:outlineLvl w:val="2"/>
              <w:rPr>
                <w:rStyle w:val="Hyperlink"/>
              </w:rPr>
            </w:pPr>
          </w:p>
          <w:p w14:paraId="1D7D287F" w14:textId="3F0AF46F" w:rsidR="00A32BB8" w:rsidRPr="0001075E" w:rsidRDefault="00A32BB8" w:rsidP="00A15DDA">
            <w:pPr>
              <w:textAlignment w:val="baseline"/>
              <w:outlineLvl w:val="2"/>
              <w:rPr>
                <w:rFonts w:ascii="Arial" w:hAnsi="Arial" w:cs="Arial"/>
                <w:color w:val="000000" w:themeColor="text1"/>
                <w:sz w:val="20"/>
                <w:szCs w:val="20"/>
              </w:rPr>
            </w:pPr>
          </w:p>
        </w:tc>
        <w:tc>
          <w:tcPr>
            <w:tcW w:w="4353" w:type="dxa"/>
          </w:tcPr>
          <w:p w14:paraId="6587610F" w14:textId="11961A82" w:rsidR="00B67CB5" w:rsidRPr="0001075E"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 xml:space="preserve">Incorporate Human factors in incident investigations and </w:t>
            </w:r>
            <w:r w:rsidR="00387390" w:rsidRPr="0001075E">
              <w:rPr>
                <w:rFonts w:ascii="Arial" w:hAnsi="Arial" w:cs="Arial"/>
                <w:color w:val="000000" w:themeColor="text1"/>
                <w:sz w:val="20"/>
                <w:szCs w:val="20"/>
              </w:rPr>
              <w:t>training.</w:t>
            </w:r>
          </w:p>
          <w:p w14:paraId="15A35CE3" w14:textId="77777777" w:rsidR="00B67CB5" w:rsidRPr="0001075E" w:rsidRDefault="00B67CB5" w:rsidP="002F1570">
            <w:pPr>
              <w:spacing w:line="259" w:lineRule="auto"/>
              <w:rPr>
                <w:rFonts w:ascii="Arial" w:eastAsiaTheme="minorEastAsia" w:hAnsi="Arial" w:cs="Arial"/>
                <w:color w:val="000000" w:themeColor="text1"/>
                <w:sz w:val="20"/>
                <w:szCs w:val="20"/>
              </w:rPr>
            </w:pPr>
          </w:p>
          <w:p w14:paraId="372F1B2D" w14:textId="77777777" w:rsidR="00B67CB5" w:rsidRPr="0001075E" w:rsidRDefault="00B67CB5" w:rsidP="002F1570">
            <w:pPr>
              <w:spacing w:line="259" w:lineRule="auto"/>
              <w:rPr>
                <w:rFonts w:ascii="Arial" w:eastAsiaTheme="minorEastAsia" w:hAnsi="Arial" w:cs="Arial"/>
                <w:color w:val="000000" w:themeColor="text1"/>
                <w:sz w:val="20"/>
                <w:szCs w:val="20"/>
              </w:rPr>
            </w:pPr>
          </w:p>
        </w:tc>
        <w:tc>
          <w:tcPr>
            <w:tcW w:w="1378" w:type="dxa"/>
          </w:tcPr>
          <w:p w14:paraId="2532555B" w14:textId="77777777" w:rsidR="00B67CB5" w:rsidRPr="0001075E" w:rsidRDefault="00B67CB5" w:rsidP="002F1570">
            <w:pPr>
              <w:rPr>
                <w:rFonts w:ascii="Arial" w:hAnsi="Arial" w:cs="Arial"/>
                <w:color w:val="000000" w:themeColor="text1"/>
              </w:rPr>
            </w:pPr>
          </w:p>
        </w:tc>
      </w:tr>
      <w:tr w:rsidR="00313ED6" w:rsidRPr="0001075E" w14:paraId="20838A1D" w14:textId="77777777" w:rsidTr="00313ED6">
        <w:tc>
          <w:tcPr>
            <w:tcW w:w="13948" w:type="dxa"/>
            <w:gridSpan w:val="5"/>
          </w:tcPr>
          <w:p w14:paraId="2EA8E5C5" w14:textId="6F13407A" w:rsidR="00313ED6" w:rsidRPr="0001075E" w:rsidRDefault="00313ED6" w:rsidP="002F1570">
            <w:pPr>
              <w:rPr>
                <w:rFonts w:ascii="Arial" w:hAnsi="Arial" w:cs="Arial"/>
                <w:b/>
                <w:bCs/>
                <w:sz w:val="28"/>
                <w:szCs w:val="28"/>
              </w:rPr>
            </w:pPr>
            <w:r w:rsidRPr="0001075E">
              <w:rPr>
                <w:rFonts w:ascii="Arial" w:hAnsi="Arial" w:cs="Arial"/>
                <w:b/>
                <w:bCs/>
                <w:sz w:val="28"/>
                <w:szCs w:val="28"/>
              </w:rPr>
              <w:lastRenderedPageBreak/>
              <w:t>Information Technology</w:t>
            </w:r>
          </w:p>
        </w:tc>
      </w:tr>
      <w:tr w:rsidR="00B67CB5" w:rsidRPr="0001075E" w14:paraId="71B71E0A" w14:textId="77777777" w:rsidTr="00A32BB8">
        <w:tc>
          <w:tcPr>
            <w:tcW w:w="1555" w:type="dxa"/>
          </w:tcPr>
          <w:p w14:paraId="1A76A311" w14:textId="48140F2A" w:rsidR="00B67CB5" w:rsidRPr="0001075E" w:rsidRDefault="00B67CB5" w:rsidP="002F1570">
            <w:pPr>
              <w:rPr>
                <w:rFonts w:ascii="Arial" w:hAnsi="Arial" w:cs="Arial"/>
              </w:rPr>
            </w:pPr>
          </w:p>
        </w:tc>
        <w:tc>
          <w:tcPr>
            <w:tcW w:w="2409" w:type="dxa"/>
          </w:tcPr>
          <w:p w14:paraId="545A88B5" w14:textId="77777777" w:rsidR="00B67CB5" w:rsidRPr="0001075E" w:rsidRDefault="00B67CB5" w:rsidP="002F1570">
            <w:pPr>
              <w:rPr>
                <w:rFonts w:ascii="Arial" w:hAnsi="Arial" w:cs="Arial"/>
              </w:rPr>
            </w:pPr>
            <w:r w:rsidRPr="0001075E">
              <w:rPr>
                <w:rFonts w:ascii="Arial" w:hAnsi="Arial" w:cs="Arial"/>
                <w:color w:val="000000"/>
                <w:sz w:val="20"/>
                <w:szCs w:val="20"/>
              </w:rPr>
              <w:t>Outcomes</w:t>
            </w:r>
          </w:p>
        </w:tc>
        <w:tc>
          <w:tcPr>
            <w:tcW w:w="4253" w:type="dxa"/>
          </w:tcPr>
          <w:p w14:paraId="303B772C" w14:textId="09F19564" w:rsidR="00B67CB5" w:rsidRPr="0001075E" w:rsidRDefault="00B67CB5" w:rsidP="002F1570">
            <w:pPr>
              <w:rPr>
                <w:rFonts w:ascii="Arial" w:hAnsi="Arial" w:cs="Arial"/>
              </w:rPr>
            </w:pPr>
            <w:r w:rsidRPr="0001075E">
              <w:rPr>
                <w:rFonts w:ascii="Arial" w:hAnsi="Arial" w:cs="Arial"/>
                <w:color w:val="000000"/>
                <w:sz w:val="20"/>
                <w:szCs w:val="20"/>
              </w:rPr>
              <w:t>Tools &amp; resources</w:t>
            </w:r>
          </w:p>
        </w:tc>
        <w:tc>
          <w:tcPr>
            <w:tcW w:w="4353" w:type="dxa"/>
          </w:tcPr>
          <w:p w14:paraId="7457B0A4" w14:textId="77777777" w:rsidR="00B67CB5" w:rsidRPr="0001075E" w:rsidRDefault="00B67CB5" w:rsidP="002F1570">
            <w:pPr>
              <w:rPr>
                <w:rFonts w:ascii="Arial" w:hAnsi="Arial" w:cs="Arial"/>
              </w:rPr>
            </w:pPr>
            <w:r w:rsidRPr="0001075E">
              <w:rPr>
                <w:rFonts w:ascii="Arial" w:hAnsi="Arial" w:cs="Arial"/>
                <w:color w:val="000000"/>
                <w:sz w:val="20"/>
                <w:szCs w:val="20"/>
              </w:rPr>
              <w:t>Actions</w:t>
            </w:r>
          </w:p>
        </w:tc>
        <w:tc>
          <w:tcPr>
            <w:tcW w:w="1378" w:type="dxa"/>
          </w:tcPr>
          <w:p w14:paraId="632085BA" w14:textId="77777777" w:rsidR="00B67CB5" w:rsidRPr="0001075E" w:rsidRDefault="00B67CB5" w:rsidP="002F1570">
            <w:pPr>
              <w:rPr>
                <w:rFonts w:ascii="Arial" w:hAnsi="Arial" w:cs="Arial"/>
              </w:rPr>
            </w:pPr>
            <w:r w:rsidRPr="0001075E">
              <w:rPr>
                <w:rFonts w:ascii="Arial" w:hAnsi="Arial" w:cs="Arial"/>
              </w:rPr>
              <w:t>Compliance</w:t>
            </w:r>
          </w:p>
        </w:tc>
      </w:tr>
      <w:tr w:rsidR="00B67CB5" w:rsidRPr="0001075E" w14:paraId="09DE83EC" w14:textId="77777777" w:rsidTr="00A32BB8">
        <w:tc>
          <w:tcPr>
            <w:tcW w:w="1555" w:type="dxa"/>
          </w:tcPr>
          <w:p w14:paraId="19084DF0" w14:textId="77777777" w:rsidR="00B67CB5" w:rsidRPr="0001075E" w:rsidRDefault="00B67CB5" w:rsidP="002F1570">
            <w:pPr>
              <w:pStyle w:val="Pa7"/>
              <w:spacing w:after="40"/>
              <w:rPr>
                <w:rFonts w:ascii="Arial" w:hAnsi="Arial" w:cs="Arial"/>
                <w:b/>
                <w:bCs/>
                <w:color w:val="000000"/>
                <w:sz w:val="20"/>
                <w:szCs w:val="20"/>
              </w:rPr>
            </w:pPr>
            <w:r w:rsidRPr="0001075E">
              <w:rPr>
                <w:rFonts w:ascii="Arial" w:hAnsi="Arial" w:cs="Arial"/>
                <w:b/>
                <w:color w:val="000000" w:themeColor="text1"/>
                <w:sz w:val="20"/>
                <w:szCs w:val="20"/>
              </w:rPr>
              <w:t>Transfusion IT</w:t>
            </w:r>
          </w:p>
          <w:p w14:paraId="6EA29DAB" w14:textId="2CA720B4" w:rsidR="00B67CB5" w:rsidRPr="0001075E" w:rsidRDefault="00B67CB5" w:rsidP="002F1570">
            <w:pPr>
              <w:rPr>
                <w:rFonts w:ascii="Arial" w:hAnsi="Arial" w:cs="Arial"/>
              </w:rPr>
            </w:pPr>
          </w:p>
        </w:tc>
        <w:tc>
          <w:tcPr>
            <w:tcW w:w="2409" w:type="dxa"/>
          </w:tcPr>
          <w:p w14:paraId="6F878CC6" w14:textId="77777777" w:rsidR="00B67CB5" w:rsidRPr="0001075E" w:rsidRDefault="00B67CB5" w:rsidP="002F1570">
            <w:pPr>
              <w:autoSpaceDE w:val="0"/>
              <w:autoSpaceDN w:val="0"/>
              <w:adjustRightInd w:val="0"/>
              <w:spacing w:after="40" w:line="201" w:lineRule="atLeast"/>
              <w:rPr>
                <w:rFonts w:ascii="Arial" w:hAnsi="Arial" w:cs="Arial"/>
                <w:color w:val="000000"/>
                <w:sz w:val="20"/>
                <w:szCs w:val="20"/>
              </w:rPr>
            </w:pPr>
            <w:r w:rsidRPr="0001075E">
              <w:rPr>
                <w:rFonts w:ascii="Arial" w:hAnsi="Arial" w:cs="Arial"/>
                <w:color w:val="000000"/>
                <w:sz w:val="20"/>
                <w:szCs w:val="20"/>
              </w:rPr>
              <w:t>Inclusion of defined standards for hospital transfusion IT within pathology networks.</w:t>
            </w:r>
          </w:p>
          <w:p w14:paraId="3E30783F" w14:textId="77777777" w:rsidR="00B67CB5" w:rsidRPr="0001075E" w:rsidRDefault="00B67CB5" w:rsidP="002F1570">
            <w:pPr>
              <w:autoSpaceDE w:val="0"/>
              <w:autoSpaceDN w:val="0"/>
              <w:adjustRightInd w:val="0"/>
              <w:spacing w:after="40" w:line="201" w:lineRule="atLeast"/>
              <w:rPr>
                <w:rFonts w:ascii="Arial" w:hAnsi="Arial" w:cs="Arial"/>
                <w:color w:val="000000"/>
                <w:sz w:val="20"/>
                <w:szCs w:val="20"/>
              </w:rPr>
            </w:pPr>
            <w:r w:rsidRPr="0001075E">
              <w:rPr>
                <w:rFonts w:ascii="Arial" w:hAnsi="Arial" w:cs="Arial"/>
                <w:color w:val="000000"/>
                <w:sz w:val="20"/>
                <w:szCs w:val="20"/>
              </w:rPr>
              <w:t>Design a blueprint for managing inventory and define an approach for roll out to hospitals.</w:t>
            </w:r>
          </w:p>
        </w:tc>
        <w:tc>
          <w:tcPr>
            <w:tcW w:w="4253" w:type="dxa"/>
          </w:tcPr>
          <w:p w14:paraId="6481ED83" w14:textId="35704EF9" w:rsidR="00B67CB5" w:rsidRPr="0001075E" w:rsidRDefault="00B67CB5" w:rsidP="002F1570">
            <w:pPr>
              <w:rPr>
                <w:rFonts w:ascii="Arial" w:hAnsi="Arial" w:cs="Arial"/>
                <w:color w:val="000000"/>
                <w:sz w:val="20"/>
                <w:szCs w:val="20"/>
                <w:highlight w:val="yellow"/>
              </w:rPr>
            </w:pPr>
          </w:p>
          <w:p w14:paraId="6781B89E" w14:textId="17520E91" w:rsidR="00B67CB5" w:rsidRPr="0001075E" w:rsidRDefault="00000000" w:rsidP="002F1570">
            <w:pPr>
              <w:rPr>
                <w:rFonts w:ascii="Arial" w:hAnsi="Arial" w:cs="Arial"/>
                <w:color w:val="000000"/>
                <w:sz w:val="20"/>
                <w:szCs w:val="20"/>
              </w:rPr>
            </w:pPr>
            <w:hyperlink r:id="rId50" w:history="1">
              <w:r w:rsidR="00573BA8" w:rsidRPr="0001075E">
                <w:rPr>
                  <w:rStyle w:val="Hyperlink"/>
                  <w:rFonts w:ascii="Arial" w:hAnsi="Arial" w:cs="Arial"/>
                  <w:sz w:val="20"/>
                  <w:szCs w:val="20"/>
                </w:rPr>
                <w:t>https://www.shotuk.org/resources/current-resources/script/</w:t>
              </w:r>
            </w:hyperlink>
          </w:p>
          <w:p w14:paraId="1CD24C9F" w14:textId="5DD05CA4" w:rsidR="00573BA8" w:rsidRPr="0001075E" w:rsidRDefault="00573BA8" w:rsidP="002F1570">
            <w:pPr>
              <w:rPr>
                <w:rFonts w:ascii="Arial" w:hAnsi="Arial" w:cs="Arial"/>
                <w:color w:val="000000"/>
                <w:sz w:val="20"/>
                <w:szCs w:val="20"/>
              </w:rPr>
            </w:pPr>
          </w:p>
          <w:p w14:paraId="7694732A" w14:textId="47DA78F4" w:rsidR="00B67CB5" w:rsidRPr="0001075E" w:rsidRDefault="00B67CB5" w:rsidP="002F1570">
            <w:pPr>
              <w:rPr>
                <w:rFonts w:ascii="Arial" w:hAnsi="Arial" w:cs="Arial"/>
                <w:color w:val="000000"/>
                <w:sz w:val="20"/>
                <w:szCs w:val="20"/>
              </w:rPr>
            </w:pPr>
          </w:p>
          <w:p w14:paraId="4F5063AF" w14:textId="03CF0D4F" w:rsidR="00B67CB5" w:rsidRPr="0001075E" w:rsidRDefault="00B67CB5" w:rsidP="002F1570">
            <w:pPr>
              <w:rPr>
                <w:rFonts w:ascii="Arial" w:hAnsi="Arial" w:cs="Arial"/>
              </w:rPr>
            </w:pPr>
          </w:p>
        </w:tc>
        <w:tc>
          <w:tcPr>
            <w:tcW w:w="4353" w:type="dxa"/>
          </w:tcPr>
          <w:p w14:paraId="5A0D15BA" w14:textId="77777777" w:rsidR="00B67CB5" w:rsidRPr="0001075E" w:rsidRDefault="00B67CB5" w:rsidP="002F1570">
            <w:pPr>
              <w:rPr>
                <w:rFonts w:ascii="Arial" w:hAnsi="Arial" w:cs="Arial"/>
                <w:color w:val="000000"/>
                <w:sz w:val="20"/>
                <w:szCs w:val="20"/>
              </w:rPr>
            </w:pPr>
            <w:r w:rsidRPr="0001075E">
              <w:rPr>
                <w:rFonts w:ascii="Arial" w:hAnsi="Arial" w:cs="Arial"/>
                <w:color w:val="000000"/>
                <w:sz w:val="20"/>
                <w:szCs w:val="20"/>
              </w:rPr>
              <w:t>Review results of SHOT SCRIPT survey and recommendations</w:t>
            </w:r>
          </w:p>
          <w:p w14:paraId="430762A7" w14:textId="77777777" w:rsidR="00B67CB5" w:rsidRPr="0001075E" w:rsidRDefault="00B67CB5" w:rsidP="002F1570">
            <w:pPr>
              <w:rPr>
                <w:rFonts w:ascii="Arial" w:hAnsi="Arial" w:cs="Arial"/>
                <w:color w:val="000000"/>
                <w:sz w:val="20"/>
                <w:szCs w:val="20"/>
              </w:rPr>
            </w:pPr>
          </w:p>
          <w:p w14:paraId="2F927BD7" w14:textId="21A5A5F9" w:rsidR="00387390" w:rsidRPr="0001075E" w:rsidRDefault="00B67CB5" w:rsidP="002F1570">
            <w:pPr>
              <w:rPr>
                <w:rFonts w:ascii="Arial" w:hAnsi="Arial" w:cs="Arial"/>
                <w:color w:val="000000"/>
                <w:sz w:val="20"/>
                <w:szCs w:val="20"/>
              </w:rPr>
            </w:pPr>
            <w:r w:rsidRPr="0001075E">
              <w:rPr>
                <w:rFonts w:ascii="Arial" w:hAnsi="Arial" w:cs="Arial"/>
                <w:color w:val="000000"/>
                <w:sz w:val="20"/>
                <w:szCs w:val="20"/>
              </w:rPr>
              <w:t xml:space="preserve">Active participation in the Blood Stocks Management Scheme (BSMS) and regular input of use and wastage data </w:t>
            </w:r>
          </w:p>
          <w:p w14:paraId="47F28E4A" w14:textId="77777777" w:rsidR="00B67CB5" w:rsidRPr="0001075E" w:rsidRDefault="00000000" w:rsidP="002F1570">
            <w:pPr>
              <w:rPr>
                <w:rFonts w:ascii="Arial" w:hAnsi="Arial" w:cs="Arial"/>
                <w:color w:val="0563C1" w:themeColor="hyperlink"/>
                <w:sz w:val="20"/>
                <w:szCs w:val="20"/>
                <w:u w:val="single"/>
              </w:rPr>
            </w:pPr>
            <w:hyperlink r:id="rId51" w:history="1">
              <w:r w:rsidR="00B67CB5" w:rsidRPr="0001075E">
                <w:rPr>
                  <w:rStyle w:val="Hyperlink"/>
                  <w:rFonts w:ascii="Arial" w:hAnsi="Arial" w:cs="Arial"/>
                  <w:sz w:val="20"/>
                  <w:szCs w:val="20"/>
                </w:rPr>
                <w:t>https://www.bloodstocks.co.uk/</w:t>
              </w:r>
            </w:hyperlink>
          </w:p>
        </w:tc>
        <w:tc>
          <w:tcPr>
            <w:tcW w:w="1378" w:type="dxa"/>
          </w:tcPr>
          <w:p w14:paraId="3F497DF5" w14:textId="77777777" w:rsidR="00B67CB5" w:rsidRPr="0001075E" w:rsidRDefault="00B67CB5" w:rsidP="002F1570">
            <w:pPr>
              <w:rPr>
                <w:rFonts w:ascii="Arial" w:hAnsi="Arial" w:cs="Arial"/>
              </w:rPr>
            </w:pPr>
          </w:p>
          <w:p w14:paraId="0171E804" w14:textId="77777777" w:rsidR="00B67CB5" w:rsidRPr="0001075E" w:rsidRDefault="00B67CB5" w:rsidP="002F1570">
            <w:pPr>
              <w:rPr>
                <w:rFonts w:ascii="Arial" w:hAnsi="Arial" w:cs="Arial"/>
              </w:rPr>
            </w:pPr>
          </w:p>
        </w:tc>
      </w:tr>
      <w:tr w:rsidR="00B67CB5" w:rsidRPr="0001075E" w14:paraId="7C64B40C" w14:textId="77777777" w:rsidTr="00A32BB8">
        <w:tc>
          <w:tcPr>
            <w:tcW w:w="1555" w:type="dxa"/>
            <w:vMerge w:val="restart"/>
          </w:tcPr>
          <w:p w14:paraId="3877BD7E" w14:textId="77777777" w:rsidR="00B67CB5" w:rsidRPr="0001075E" w:rsidRDefault="00B67CB5" w:rsidP="002F1570">
            <w:pPr>
              <w:pStyle w:val="Pa7"/>
              <w:rPr>
                <w:rFonts w:ascii="Arial" w:eastAsia="Calibri" w:hAnsi="Arial" w:cs="Arial"/>
                <w:b/>
                <w:bCs/>
                <w:color w:val="000000" w:themeColor="text1"/>
              </w:rPr>
            </w:pPr>
          </w:p>
          <w:p w14:paraId="64AD580F" w14:textId="053CD0E7" w:rsidR="00B67CB5" w:rsidRPr="0001075E" w:rsidRDefault="00B67CB5" w:rsidP="002F1570">
            <w:pPr>
              <w:pStyle w:val="Pa7"/>
              <w:spacing w:after="40"/>
              <w:rPr>
                <w:rFonts w:ascii="Arial" w:hAnsi="Arial" w:cs="Arial"/>
                <w:b/>
                <w:bCs/>
                <w:color w:val="000000" w:themeColor="text1"/>
                <w:sz w:val="20"/>
                <w:szCs w:val="20"/>
              </w:rPr>
            </w:pPr>
            <w:r w:rsidRPr="0001075E">
              <w:rPr>
                <w:rFonts w:ascii="Arial" w:hAnsi="Arial" w:cs="Arial"/>
                <w:b/>
                <w:bCs/>
                <w:color w:val="000000" w:themeColor="text1"/>
                <w:sz w:val="20"/>
                <w:szCs w:val="20"/>
              </w:rPr>
              <w:t xml:space="preserve">Vein to vein electronic </w:t>
            </w:r>
            <w:r w:rsidR="00A32BB8" w:rsidRPr="0001075E">
              <w:rPr>
                <w:rFonts w:ascii="Arial" w:hAnsi="Arial" w:cs="Arial"/>
                <w:b/>
                <w:bCs/>
                <w:color w:val="000000" w:themeColor="text1"/>
                <w:sz w:val="20"/>
                <w:szCs w:val="20"/>
              </w:rPr>
              <w:t>tracking.</w:t>
            </w:r>
          </w:p>
          <w:p w14:paraId="69183254" w14:textId="608431F5" w:rsidR="00B67CB5" w:rsidRPr="0001075E" w:rsidRDefault="00B67CB5" w:rsidP="002F1570">
            <w:pPr>
              <w:rPr>
                <w:rFonts w:ascii="Arial" w:hAnsi="Arial" w:cs="Arial"/>
              </w:rPr>
            </w:pPr>
          </w:p>
        </w:tc>
        <w:tc>
          <w:tcPr>
            <w:tcW w:w="2409" w:type="dxa"/>
            <w:vMerge w:val="restart"/>
          </w:tcPr>
          <w:p w14:paraId="604FBC85" w14:textId="5716BB39" w:rsidR="00B67CB5" w:rsidRPr="0001075E" w:rsidRDefault="00B67CB5" w:rsidP="002F1570">
            <w:pPr>
              <w:pStyle w:val="Pa7"/>
              <w:spacing w:after="40"/>
              <w:rPr>
                <w:rFonts w:ascii="Arial" w:hAnsi="Arial" w:cs="Arial"/>
                <w:color w:val="000000" w:themeColor="text1"/>
                <w:sz w:val="20"/>
                <w:szCs w:val="20"/>
              </w:rPr>
            </w:pPr>
            <w:r w:rsidRPr="0001075E">
              <w:rPr>
                <w:rFonts w:ascii="Arial" w:hAnsi="Arial" w:cs="Arial"/>
                <w:color w:val="000000" w:themeColor="text1"/>
                <w:sz w:val="20"/>
                <w:szCs w:val="20"/>
              </w:rPr>
              <w:t xml:space="preserve">Develop a plan to drive the implementation of vein-to-vein electronic systems from donation, recipient group and screen sample, blood collection, administration of blood and monitoring of transfused patients. </w:t>
            </w:r>
          </w:p>
        </w:tc>
        <w:tc>
          <w:tcPr>
            <w:tcW w:w="4253" w:type="dxa"/>
            <w:vMerge w:val="restart"/>
          </w:tcPr>
          <w:p w14:paraId="6E002BC1" w14:textId="7C138ED0" w:rsidR="00B67CB5" w:rsidRPr="0001075E" w:rsidRDefault="00B67CB5" w:rsidP="002F1570">
            <w:pPr>
              <w:rPr>
                <w:rFonts w:ascii="Arial" w:hAnsi="Arial" w:cs="Arial"/>
                <w:color w:val="000000" w:themeColor="text1"/>
                <w:sz w:val="20"/>
                <w:szCs w:val="20"/>
                <w:highlight w:val="yellow"/>
              </w:rPr>
            </w:pPr>
          </w:p>
          <w:p w14:paraId="179B8B78" w14:textId="77777777" w:rsidR="00B67CB5" w:rsidRPr="0001075E" w:rsidRDefault="00B67CB5" w:rsidP="002F1570">
            <w:pPr>
              <w:rPr>
                <w:rStyle w:val="Hyperlink"/>
                <w:rFonts w:ascii="Arial" w:hAnsi="Arial" w:cs="Arial"/>
                <w:sz w:val="20"/>
                <w:szCs w:val="20"/>
              </w:rPr>
            </w:pPr>
            <w:r w:rsidRPr="0001075E">
              <w:rPr>
                <w:rFonts w:ascii="Arial" w:hAnsi="Arial" w:cs="Arial"/>
                <w:color w:val="000000" w:themeColor="text1"/>
                <w:sz w:val="20"/>
                <w:szCs w:val="20"/>
              </w:rPr>
              <w:fldChar w:fldCharType="begin"/>
            </w:r>
            <w:r w:rsidRPr="0001075E">
              <w:rPr>
                <w:rFonts w:ascii="Arial" w:hAnsi="Arial" w:cs="Arial"/>
                <w:color w:val="000000" w:themeColor="text1"/>
                <w:sz w:val="20"/>
                <w:szCs w:val="20"/>
              </w:rPr>
              <w:instrText xml:space="preserve"> HYPERLINK "https://www.nhsbtaudits.co.uk/" </w:instrText>
            </w:r>
            <w:r w:rsidRPr="0001075E">
              <w:rPr>
                <w:rFonts w:ascii="Arial" w:hAnsi="Arial" w:cs="Arial"/>
                <w:color w:val="000000" w:themeColor="text1"/>
                <w:sz w:val="20"/>
                <w:szCs w:val="20"/>
              </w:rPr>
            </w:r>
            <w:r w:rsidRPr="0001075E">
              <w:rPr>
                <w:rFonts w:ascii="Arial" w:hAnsi="Arial" w:cs="Arial"/>
                <w:color w:val="000000" w:themeColor="text1"/>
                <w:sz w:val="20"/>
                <w:szCs w:val="20"/>
              </w:rPr>
              <w:fldChar w:fldCharType="separate"/>
            </w:r>
            <w:r w:rsidRPr="0001075E">
              <w:rPr>
                <w:rStyle w:val="Hyperlink"/>
                <w:rFonts w:ascii="Arial" w:hAnsi="Arial" w:cs="Arial"/>
                <w:sz w:val="20"/>
                <w:szCs w:val="20"/>
              </w:rPr>
              <w:t xml:space="preserve">Vein to Vein Blood Transfusion Processes Guidance </w:t>
            </w:r>
          </w:p>
          <w:p w14:paraId="454233EA" w14:textId="77777777" w:rsidR="00B67CB5" w:rsidRPr="0001075E" w:rsidRDefault="00B67CB5" w:rsidP="002F1570">
            <w:pPr>
              <w:rPr>
                <w:rFonts w:ascii="Arial" w:hAnsi="Arial" w:cs="Arial"/>
                <w:color w:val="000000" w:themeColor="text1"/>
                <w:sz w:val="20"/>
                <w:szCs w:val="20"/>
              </w:rPr>
            </w:pPr>
            <w:r w:rsidRPr="0001075E">
              <w:rPr>
                <w:rStyle w:val="Hyperlink"/>
                <w:rFonts w:ascii="Arial" w:hAnsi="Arial" w:cs="Arial"/>
                <w:sz w:val="20"/>
                <w:szCs w:val="20"/>
              </w:rPr>
              <w:t>Vein to Vein Data Collection Tools</w:t>
            </w:r>
            <w:r w:rsidRPr="0001075E">
              <w:rPr>
                <w:rFonts w:ascii="Arial" w:hAnsi="Arial" w:cs="Arial"/>
                <w:color w:val="000000" w:themeColor="text1"/>
                <w:sz w:val="20"/>
                <w:szCs w:val="20"/>
              </w:rPr>
              <w:fldChar w:fldCharType="end"/>
            </w:r>
          </w:p>
          <w:p w14:paraId="17CE7020" w14:textId="77777777" w:rsidR="00B67CB5" w:rsidRPr="0001075E" w:rsidRDefault="00B67CB5" w:rsidP="002F1570">
            <w:pPr>
              <w:rPr>
                <w:rFonts w:ascii="Arial" w:hAnsi="Arial" w:cs="Arial"/>
                <w:sz w:val="20"/>
                <w:szCs w:val="20"/>
              </w:rPr>
            </w:pPr>
          </w:p>
          <w:p w14:paraId="65B0467A" w14:textId="6503422B" w:rsidR="00B67CB5" w:rsidRPr="0001075E" w:rsidRDefault="00B67CB5" w:rsidP="002F1570">
            <w:pPr>
              <w:rPr>
                <w:rFonts w:ascii="Arial" w:hAnsi="Arial" w:cs="Arial"/>
                <w:sz w:val="20"/>
                <w:szCs w:val="20"/>
              </w:rPr>
            </w:pPr>
          </w:p>
          <w:p w14:paraId="0582E58F" w14:textId="0A045FBE" w:rsidR="000A6CC1" w:rsidRPr="0001075E" w:rsidRDefault="000A6CC1" w:rsidP="002F1570">
            <w:pPr>
              <w:rPr>
                <w:rFonts w:ascii="Arial" w:hAnsi="Arial" w:cs="Arial"/>
                <w:sz w:val="20"/>
                <w:szCs w:val="20"/>
              </w:rPr>
            </w:pPr>
          </w:p>
          <w:p w14:paraId="64D9BA96" w14:textId="216861A8" w:rsidR="000A6CC1" w:rsidRPr="0001075E" w:rsidRDefault="000A6CC1" w:rsidP="002F1570">
            <w:pPr>
              <w:rPr>
                <w:rFonts w:ascii="Arial" w:hAnsi="Arial" w:cs="Arial"/>
                <w:sz w:val="20"/>
                <w:szCs w:val="20"/>
              </w:rPr>
            </w:pPr>
          </w:p>
          <w:p w14:paraId="5F47382E" w14:textId="70D22121" w:rsidR="000A6CC1" w:rsidRPr="0001075E" w:rsidRDefault="00000000" w:rsidP="000A6CC1">
            <w:pPr>
              <w:rPr>
                <w:rFonts w:ascii="Arial" w:hAnsi="Arial" w:cs="Arial"/>
                <w:sz w:val="20"/>
                <w:szCs w:val="20"/>
              </w:rPr>
            </w:pPr>
            <w:hyperlink r:id="rId52" w:history="1">
              <w:r w:rsidR="000A6CC1" w:rsidRPr="0001075E">
                <w:rPr>
                  <w:rStyle w:val="Hyperlink"/>
                  <w:rFonts w:ascii="Arial" w:hAnsi="Arial" w:cs="Arial"/>
                  <w:sz w:val="20"/>
                  <w:szCs w:val="20"/>
                </w:rPr>
                <w:t>2021 Survey of Patient Blood Management</w:t>
              </w:r>
            </w:hyperlink>
          </w:p>
          <w:p w14:paraId="0E697D63" w14:textId="159277D3" w:rsidR="000A6CC1" w:rsidRPr="0001075E" w:rsidRDefault="000A6CC1" w:rsidP="002F1570">
            <w:pPr>
              <w:rPr>
                <w:rFonts w:ascii="Arial" w:hAnsi="Arial" w:cs="Arial"/>
                <w:sz w:val="20"/>
                <w:szCs w:val="20"/>
              </w:rPr>
            </w:pPr>
          </w:p>
          <w:p w14:paraId="368CA1C5" w14:textId="20653857" w:rsidR="00B67CB5" w:rsidRPr="0001075E" w:rsidRDefault="00B67CB5" w:rsidP="002F1570">
            <w:pPr>
              <w:rPr>
                <w:rFonts w:ascii="Arial" w:hAnsi="Arial" w:cs="Arial"/>
              </w:rPr>
            </w:pPr>
          </w:p>
        </w:tc>
        <w:tc>
          <w:tcPr>
            <w:tcW w:w="4353" w:type="dxa"/>
          </w:tcPr>
          <w:p w14:paraId="4C26C82D" w14:textId="77777777" w:rsidR="00B67CB5" w:rsidRPr="0001075E"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Review internal systems to maximise vein-to-vein tracking and report to HTC</w:t>
            </w:r>
          </w:p>
        </w:tc>
        <w:tc>
          <w:tcPr>
            <w:tcW w:w="1378" w:type="dxa"/>
          </w:tcPr>
          <w:p w14:paraId="06DA3660" w14:textId="77777777" w:rsidR="00B67CB5" w:rsidRPr="0001075E" w:rsidRDefault="00B67CB5" w:rsidP="002F1570">
            <w:pPr>
              <w:rPr>
                <w:rFonts w:ascii="Arial" w:hAnsi="Arial" w:cs="Arial"/>
              </w:rPr>
            </w:pPr>
          </w:p>
        </w:tc>
      </w:tr>
      <w:tr w:rsidR="00B67CB5" w:rsidRPr="0001075E" w14:paraId="0C6F46F1" w14:textId="77777777" w:rsidTr="00A32BB8">
        <w:tc>
          <w:tcPr>
            <w:tcW w:w="1555" w:type="dxa"/>
            <w:vMerge/>
          </w:tcPr>
          <w:p w14:paraId="3E5C32E3" w14:textId="77777777" w:rsidR="00B67CB5" w:rsidRPr="0001075E" w:rsidRDefault="00B67CB5" w:rsidP="002F1570">
            <w:pPr>
              <w:rPr>
                <w:rFonts w:ascii="Arial" w:hAnsi="Arial" w:cs="Arial"/>
              </w:rPr>
            </w:pPr>
          </w:p>
        </w:tc>
        <w:tc>
          <w:tcPr>
            <w:tcW w:w="2409" w:type="dxa"/>
            <w:vMerge/>
          </w:tcPr>
          <w:p w14:paraId="7218F21F" w14:textId="77777777" w:rsidR="00B67CB5" w:rsidRPr="0001075E" w:rsidRDefault="00B67CB5" w:rsidP="002F1570">
            <w:pPr>
              <w:rPr>
                <w:rFonts w:ascii="Arial" w:hAnsi="Arial" w:cs="Arial"/>
              </w:rPr>
            </w:pPr>
          </w:p>
        </w:tc>
        <w:tc>
          <w:tcPr>
            <w:tcW w:w="4253" w:type="dxa"/>
            <w:vMerge/>
          </w:tcPr>
          <w:p w14:paraId="420D904A" w14:textId="77777777" w:rsidR="00B67CB5" w:rsidRPr="0001075E" w:rsidRDefault="00B67CB5" w:rsidP="002F1570">
            <w:pPr>
              <w:rPr>
                <w:rFonts w:ascii="Arial" w:hAnsi="Arial" w:cs="Arial"/>
              </w:rPr>
            </w:pPr>
          </w:p>
        </w:tc>
        <w:tc>
          <w:tcPr>
            <w:tcW w:w="4353" w:type="dxa"/>
          </w:tcPr>
          <w:p w14:paraId="3BF4CC3E" w14:textId="77777777" w:rsidR="00B67CB5"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Utilisation of NCA quick audits</w:t>
            </w:r>
          </w:p>
          <w:p w14:paraId="1D6538A2" w14:textId="6ADD0424" w:rsidR="00387390" w:rsidRPr="0001075E" w:rsidRDefault="00387390" w:rsidP="002F1570">
            <w:pPr>
              <w:rPr>
                <w:rFonts w:ascii="Arial" w:hAnsi="Arial" w:cs="Arial"/>
                <w:color w:val="000000" w:themeColor="text1"/>
                <w:sz w:val="20"/>
                <w:szCs w:val="20"/>
              </w:rPr>
            </w:pPr>
          </w:p>
        </w:tc>
        <w:tc>
          <w:tcPr>
            <w:tcW w:w="1378" w:type="dxa"/>
          </w:tcPr>
          <w:p w14:paraId="4F3A58D8" w14:textId="77777777" w:rsidR="00B67CB5" w:rsidRPr="0001075E" w:rsidRDefault="00B67CB5" w:rsidP="002F1570">
            <w:pPr>
              <w:rPr>
                <w:rFonts w:ascii="Arial" w:hAnsi="Arial" w:cs="Arial"/>
              </w:rPr>
            </w:pPr>
          </w:p>
        </w:tc>
      </w:tr>
      <w:tr w:rsidR="00B67CB5" w:rsidRPr="0001075E" w14:paraId="09F583AB" w14:textId="77777777" w:rsidTr="00A32BB8">
        <w:tc>
          <w:tcPr>
            <w:tcW w:w="1555" w:type="dxa"/>
            <w:vMerge/>
          </w:tcPr>
          <w:p w14:paraId="24013151" w14:textId="77777777" w:rsidR="00B67CB5" w:rsidRPr="0001075E" w:rsidRDefault="00B67CB5" w:rsidP="002F1570">
            <w:pPr>
              <w:rPr>
                <w:rFonts w:ascii="Arial" w:hAnsi="Arial" w:cs="Arial"/>
              </w:rPr>
            </w:pPr>
          </w:p>
        </w:tc>
        <w:tc>
          <w:tcPr>
            <w:tcW w:w="2409" w:type="dxa"/>
            <w:vMerge/>
          </w:tcPr>
          <w:p w14:paraId="5CCDB8E1" w14:textId="77777777" w:rsidR="00B67CB5" w:rsidRPr="0001075E" w:rsidRDefault="00B67CB5" w:rsidP="002F1570">
            <w:pPr>
              <w:rPr>
                <w:rFonts w:ascii="Arial" w:hAnsi="Arial" w:cs="Arial"/>
              </w:rPr>
            </w:pPr>
          </w:p>
        </w:tc>
        <w:tc>
          <w:tcPr>
            <w:tcW w:w="4253" w:type="dxa"/>
            <w:vMerge/>
          </w:tcPr>
          <w:p w14:paraId="5B3A8261" w14:textId="77777777" w:rsidR="00B67CB5" w:rsidRPr="0001075E" w:rsidRDefault="00B67CB5" w:rsidP="002F1570">
            <w:pPr>
              <w:rPr>
                <w:rFonts w:ascii="Arial" w:hAnsi="Arial" w:cs="Arial"/>
              </w:rPr>
            </w:pPr>
          </w:p>
        </w:tc>
        <w:tc>
          <w:tcPr>
            <w:tcW w:w="4353" w:type="dxa"/>
          </w:tcPr>
          <w:p w14:paraId="6EA899A1" w14:textId="77777777" w:rsidR="00B67CB5" w:rsidRPr="0001075E" w:rsidRDefault="00B67CB5" w:rsidP="002F1570">
            <w:pPr>
              <w:rPr>
                <w:rFonts w:ascii="Arial" w:hAnsi="Arial" w:cs="Arial"/>
                <w:color w:val="000000" w:themeColor="text1"/>
                <w:sz w:val="20"/>
                <w:szCs w:val="20"/>
              </w:rPr>
            </w:pPr>
            <w:r w:rsidRPr="0001075E">
              <w:rPr>
                <w:rFonts w:ascii="Arial" w:hAnsi="Arial" w:cs="Arial"/>
                <w:color w:val="000000" w:themeColor="text1"/>
                <w:sz w:val="20"/>
                <w:szCs w:val="20"/>
              </w:rPr>
              <w:t xml:space="preserve">Active participation in the Blood Stocks Management Scheme (BSMS) and regular input of use and wastage data </w:t>
            </w:r>
          </w:p>
          <w:p w14:paraId="551A9FE3" w14:textId="7275A09D" w:rsidR="00387390" w:rsidRPr="0001075E" w:rsidRDefault="00000000" w:rsidP="002F1570">
            <w:pPr>
              <w:rPr>
                <w:rFonts w:ascii="Arial" w:hAnsi="Arial" w:cs="Arial"/>
                <w:color w:val="0563C1" w:themeColor="hyperlink"/>
                <w:sz w:val="20"/>
                <w:szCs w:val="20"/>
                <w:u w:val="single"/>
              </w:rPr>
            </w:pPr>
            <w:hyperlink r:id="rId53" w:history="1">
              <w:r w:rsidR="000A6CC1" w:rsidRPr="0001075E">
                <w:rPr>
                  <w:rStyle w:val="Hyperlink"/>
                  <w:rFonts w:ascii="Arial" w:hAnsi="Arial" w:cs="Arial"/>
                  <w:sz w:val="20"/>
                  <w:szCs w:val="20"/>
                </w:rPr>
                <w:t>https://www.bloodstocks.co.uk/</w:t>
              </w:r>
            </w:hyperlink>
          </w:p>
        </w:tc>
        <w:tc>
          <w:tcPr>
            <w:tcW w:w="1378" w:type="dxa"/>
          </w:tcPr>
          <w:p w14:paraId="79749E9A" w14:textId="77777777" w:rsidR="00B67CB5" w:rsidRPr="0001075E" w:rsidRDefault="00B67CB5" w:rsidP="002F1570">
            <w:pPr>
              <w:rPr>
                <w:rFonts w:ascii="Arial" w:hAnsi="Arial" w:cs="Arial"/>
              </w:rPr>
            </w:pPr>
          </w:p>
        </w:tc>
      </w:tr>
      <w:tr w:rsidR="00B67CB5" w:rsidRPr="0001075E" w14:paraId="4B018658" w14:textId="77777777" w:rsidTr="00A32BB8">
        <w:trPr>
          <w:trHeight w:val="795"/>
        </w:trPr>
        <w:tc>
          <w:tcPr>
            <w:tcW w:w="1555" w:type="dxa"/>
            <w:vMerge/>
          </w:tcPr>
          <w:p w14:paraId="2AC8E534" w14:textId="77777777" w:rsidR="00B67CB5" w:rsidRPr="0001075E" w:rsidRDefault="00B67CB5" w:rsidP="002F1570">
            <w:pPr>
              <w:rPr>
                <w:rFonts w:ascii="Arial" w:hAnsi="Arial" w:cs="Arial"/>
              </w:rPr>
            </w:pPr>
          </w:p>
        </w:tc>
        <w:tc>
          <w:tcPr>
            <w:tcW w:w="2409" w:type="dxa"/>
            <w:vMerge/>
          </w:tcPr>
          <w:p w14:paraId="780DCA90" w14:textId="77777777" w:rsidR="00B67CB5" w:rsidRPr="0001075E" w:rsidRDefault="00B67CB5" w:rsidP="002F1570">
            <w:pPr>
              <w:rPr>
                <w:rFonts w:ascii="Arial" w:hAnsi="Arial" w:cs="Arial"/>
              </w:rPr>
            </w:pPr>
          </w:p>
        </w:tc>
        <w:tc>
          <w:tcPr>
            <w:tcW w:w="4253" w:type="dxa"/>
            <w:vMerge/>
          </w:tcPr>
          <w:p w14:paraId="4420EBE0" w14:textId="77777777" w:rsidR="00B67CB5" w:rsidRPr="0001075E" w:rsidRDefault="00B67CB5" w:rsidP="002F1570">
            <w:pPr>
              <w:rPr>
                <w:rFonts w:ascii="Arial" w:hAnsi="Arial" w:cs="Arial"/>
              </w:rPr>
            </w:pPr>
          </w:p>
        </w:tc>
        <w:tc>
          <w:tcPr>
            <w:tcW w:w="4353" w:type="dxa"/>
          </w:tcPr>
          <w:p w14:paraId="1FF9384F" w14:textId="6B5255FB" w:rsidR="00B67CB5" w:rsidRPr="0001075E" w:rsidRDefault="00B67CB5" w:rsidP="002F1570">
            <w:pPr>
              <w:rPr>
                <w:rStyle w:val="Hyperlink"/>
                <w:rFonts w:ascii="Arial" w:hAnsi="Arial" w:cs="Arial"/>
                <w:sz w:val="20"/>
                <w:szCs w:val="20"/>
              </w:rPr>
            </w:pPr>
            <w:r w:rsidRPr="0001075E">
              <w:rPr>
                <w:rFonts w:ascii="Arial" w:eastAsiaTheme="minorEastAsia" w:hAnsi="Arial" w:cs="Arial"/>
                <w:color w:val="000000" w:themeColor="text1"/>
                <w:sz w:val="20"/>
                <w:szCs w:val="20"/>
              </w:rPr>
              <w:t xml:space="preserve">Review results and act on recommendations of 2021 </w:t>
            </w:r>
            <w:r w:rsidRPr="0001075E">
              <w:rPr>
                <w:rFonts w:ascii="Arial" w:hAnsi="Arial" w:cs="Arial"/>
                <w:color w:val="000000" w:themeColor="text1"/>
                <w:sz w:val="20"/>
                <w:szCs w:val="20"/>
              </w:rPr>
              <w:t>National Comparative Audit PBM national survey</w:t>
            </w:r>
          </w:p>
          <w:p w14:paraId="1B122C62" w14:textId="4E8514B6" w:rsidR="000A6CC1" w:rsidRPr="0001075E" w:rsidRDefault="00000000" w:rsidP="000A6CC1">
            <w:pPr>
              <w:pStyle w:val="Heading1"/>
              <w:shd w:val="clear" w:color="auto" w:fill="FFFFFF"/>
              <w:spacing w:before="0" w:beforeAutospacing="0" w:after="0" w:afterAutospacing="0"/>
              <w:rPr>
                <w:rFonts w:ascii="Arial" w:eastAsiaTheme="minorEastAsia" w:hAnsi="Arial" w:cs="Arial"/>
                <w:b w:val="0"/>
                <w:bCs w:val="0"/>
                <w:color w:val="000000" w:themeColor="text1"/>
                <w:kern w:val="0"/>
                <w:sz w:val="20"/>
                <w:szCs w:val="20"/>
                <w:lang w:eastAsia="en-US"/>
              </w:rPr>
            </w:pPr>
            <w:hyperlink r:id="rId54" w:history="1">
              <w:r w:rsidR="000A6CC1" w:rsidRPr="0001075E">
                <w:rPr>
                  <w:rStyle w:val="Hyperlink"/>
                  <w:rFonts w:ascii="Arial" w:eastAsiaTheme="minorEastAsia" w:hAnsi="Arial" w:cs="Arial"/>
                  <w:b w:val="0"/>
                  <w:bCs w:val="0"/>
                  <w:kern w:val="0"/>
                  <w:sz w:val="20"/>
                  <w:szCs w:val="20"/>
                  <w:lang w:eastAsia="en-US"/>
                </w:rPr>
                <w:t>National Comparative Audit reports</w:t>
              </w:r>
            </w:hyperlink>
          </w:p>
          <w:p w14:paraId="7F25B1E8" w14:textId="147C872B" w:rsidR="000A6CC1" w:rsidRPr="0001075E" w:rsidRDefault="000A6CC1" w:rsidP="002F1570">
            <w:pPr>
              <w:rPr>
                <w:rFonts w:ascii="Arial" w:hAnsi="Arial" w:cs="Arial"/>
                <w:color w:val="0563C1" w:themeColor="hyperlink"/>
                <w:sz w:val="20"/>
                <w:szCs w:val="20"/>
                <w:u w:val="single"/>
              </w:rPr>
            </w:pPr>
          </w:p>
        </w:tc>
        <w:tc>
          <w:tcPr>
            <w:tcW w:w="1378" w:type="dxa"/>
          </w:tcPr>
          <w:p w14:paraId="64271946" w14:textId="77777777" w:rsidR="00B67CB5" w:rsidRPr="0001075E" w:rsidRDefault="00B67CB5" w:rsidP="002F1570">
            <w:pPr>
              <w:rPr>
                <w:rFonts w:ascii="Arial" w:hAnsi="Arial" w:cs="Arial"/>
              </w:rPr>
            </w:pPr>
          </w:p>
        </w:tc>
      </w:tr>
    </w:tbl>
    <w:p w14:paraId="7EB2CF38" w14:textId="4A7D61F7" w:rsidR="00941E07" w:rsidRDefault="00F839B7" w:rsidP="00387390">
      <w:pPr>
        <w:spacing w:after="0"/>
        <w:rPr>
          <w:rFonts w:ascii="Arial" w:hAnsi="Arial" w:cs="Arial"/>
          <w:color w:val="000000"/>
          <w:sz w:val="20"/>
          <w:szCs w:val="20"/>
        </w:rPr>
      </w:pPr>
      <w:r>
        <w:rPr>
          <w:rFonts w:ascii="Arial" w:hAnsi="Arial" w:cs="Arial"/>
          <w:iCs/>
          <w:noProof/>
          <w:sz w:val="20"/>
          <w:szCs w:val="20"/>
        </w:rPr>
        <mc:AlternateContent>
          <mc:Choice Requires="wps">
            <w:drawing>
              <wp:anchor distT="0" distB="0" distL="114300" distR="114300" simplePos="0" relativeHeight="251666432" behindDoc="0" locked="0" layoutInCell="1" allowOverlap="1" wp14:anchorId="20343C3B" wp14:editId="4C1D9121">
                <wp:simplePos x="0" y="0"/>
                <wp:positionH relativeFrom="margin">
                  <wp:align>left</wp:align>
                </wp:positionH>
                <wp:positionV relativeFrom="paragraph">
                  <wp:posOffset>233045</wp:posOffset>
                </wp:positionV>
                <wp:extent cx="8801100" cy="1276350"/>
                <wp:effectExtent l="0" t="0" r="19050" b="19050"/>
                <wp:wrapTopAndBottom/>
                <wp:docPr id="7" name="Rectangle: Rounded Corners 7"/>
                <wp:cNvGraphicFramePr/>
                <a:graphic xmlns:a="http://schemas.openxmlformats.org/drawingml/2006/main">
                  <a:graphicData uri="http://schemas.microsoft.com/office/word/2010/wordprocessingShape">
                    <wps:wsp>
                      <wps:cNvSpPr/>
                      <wps:spPr>
                        <a:xfrm>
                          <a:off x="0" y="0"/>
                          <a:ext cx="8801100" cy="12763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352CF0" w14:textId="77777777" w:rsidR="00F64DDB" w:rsidRPr="00F64DDB" w:rsidRDefault="00F64DDB" w:rsidP="00F64DDB">
                            <w:pPr>
                              <w:spacing w:after="0"/>
                              <w:rPr>
                                <w:rFonts w:ascii="Arial" w:hAnsi="Arial" w:cs="Arial"/>
                                <w:iCs/>
                                <w:color w:val="000000" w:themeColor="text1"/>
                              </w:rPr>
                            </w:pPr>
                            <w:r w:rsidRPr="00F64DDB">
                              <w:rPr>
                                <w:rFonts w:ascii="Arial" w:hAnsi="Arial" w:cs="Arial"/>
                                <w:iCs/>
                                <w:color w:val="000000" w:themeColor="text1"/>
                              </w:rPr>
                              <w:t>Some other key areas of progress include the following:</w:t>
                            </w:r>
                          </w:p>
                          <w:p w14:paraId="2009E89A" w14:textId="77777777" w:rsidR="00F64DDB" w:rsidRPr="00F839B7" w:rsidRDefault="00F64DDB" w:rsidP="00F64DDB">
                            <w:pPr>
                              <w:pStyle w:val="ListParagraph"/>
                              <w:numPr>
                                <w:ilvl w:val="0"/>
                                <w:numId w:val="3"/>
                              </w:numPr>
                              <w:spacing w:after="0" w:line="240" w:lineRule="auto"/>
                              <w:rPr>
                                <w:rFonts w:ascii="Arial" w:hAnsi="Arial" w:cs="Arial"/>
                                <w:iCs/>
                                <w:color w:val="000000" w:themeColor="text1"/>
                                <w:sz w:val="20"/>
                                <w:szCs w:val="20"/>
                              </w:rPr>
                            </w:pPr>
                            <w:r w:rsidRPr="00F839B7">
                              <w:rPr>
                                <w:rFonts w:ascii="Arial" w:hAnsi="Arial" w:cs="Arial"/>
                                <w:iCs/>
                                <w:color w:val="000000" w:themeColor="text1"/>
                                <w:sz w:val="20"/>
                                <w:szCs w:val="20"/>
                              </w:rPr>
                              <w:t>NHSBT in partnership with the National Institute of Health Research (NIHR) has funded further new NIHR Blood and Transplant Research Units (BTRUs) launched in 2022 as centres of multidisciplinary research excellence including data driven transfusion practice.</w:t>
                            </w:r>
                          </w:p>
                          <w:p w14:paraId="372D27B3" w14:textId="27A05765" w:rsidR="00F64DDB" w:rsidRDefault="00F64DDB" w:rsidP="00F64DDB">
                            <w:pPr>
                              <w:pStyle w:val="ListParagraph"/>
                              <w:spacing w:after="0" w:line="240" w:lineRule="auto"/>
                              <w:rPr>
                                <w:iCs/>
                                <w:color w:val="000000" w:themeColor="text1"/>
                              </w:rPr>
                            </w:pPr>
                            <w:hyperlink r:id="rId55" w:history="1">
                              <w:r w:rsidRPr="00F64DDB">
                                <w:rPr>
                                  <w:iCs/>
                                  <w:color w:val="000000" w:themeColor="text1"/>
                                </w:rPr>
                                <w:t>https://www.nhsbt.nhs.uk/research-and-development/current-research/btrus/data-driven-transfusion-practice/</w:t>
                              </w:r>
                            </w:hyperlink>
                          </w:p>
                          <w:p w14:paraId="093C681E" w14:textId="1CAFDEAE" w:rsidR="00F64DDB" w:rsidRPr="00F64DDB" w:rsidRDefault="00F64DDB" w:rsidP="00F64DDB">
                            <w:pPr>
                              <w:jc w:val="center"/>
                              <w:rPr>
                                <w:color w:val="000000" w:themeColor="text1"/>
                                <w:sz w:val="24"/>
                                <w:szCs w:val="24"/>
                              </w:rPr>
                            </w:pPr>
                            <w:r w:rsidRPr="00F64DDB">
                              <w:rPr>
                                <w:rFonts w:ascii="Arial" w:hAnsi="Arial" w:cs="Arial"/>
                                <w:iCs/>
                                <w:color w:val="000000" w:themeColor="text1"/>
                              </w:rPr>
                              <w:t xml:space="preserve">NHSBT has established the HAEM-MATCH consortium that aims to develop algorithms to optimise the allocation of genotyped blood to patients and to optimise the collection of blood from the donor pool by </w:t>
                            </w:r>
                            <w:r w:rsidRPr="00F64DDB">
                              <w:rPr>
                                <w:rFonts w:ascii="Arial" w:hAnsi="Arial" w:cs="Arial"/>
                                <w:iCs/>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43C3B" id="Rectangle: Rounded Corners 7" o:spid="_x0000_s1029" style="position:absolute;margin-left:0;margin-top:18.35pt;width:693pt;height:10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" fillcolor="#fbe4d5 [661]" strokecolor="#1f3763 [1604]" strokeweight="1pt">
                <v:stroke joinstyle="miter"/>
                <v:textbox>
                  <w:txbxContent>
                    <w:p w14:paraId="71352CF0" w14:textId="77777777" w:rsidR="00F64DDB" w:rsidRPr="00F64DDB" w:rsidRDefault="00F64DDB" w:rsidP="00F64DDB">
                      <w:pPr>
                        <w:spacing w:after="0"/>
                        <w:rPr>
                          <w:rFonts w:ascii="Arial" w:hAnsi="Arial" w:cs="Arial"/>
                          <w:iCs/>
                          <w:color w:val="000000" w:themeColor="text1"/>
                        </w:rPr>
                      </w:pPr>
                      <w:r w:rsidRPr="00F64DDB">
                        <w:rPr>
                          <w:rFonts w:ascii="Arial" w:hAnsi="Arial" w:cs="Arial"/>
                          <w:iCs/>
                          <w:color w:val="000000" w:themeColor="text1"/>
                        </w:rPr>
                        <w:t>Some other key areas of progress include the following:</w:t>
                      </w:r>
                    </w:p>
                    <w:p w14:paraId="2009E89A" w14:textId="77777777" w:rsidR="00F64DDB" w:rsidRPr="00F839B7" w:rsidRDefault="00F64DDB" w:rsidP="00F64DDB">
                      <w:pPr>
                        <w:pStyle w:val="ListParagraph"/>
                        <w:numPr>
                          <w:ilvl w:val="0"/>
                          <w:numId w:val="3"/>
                        </w:numPr>
                        <w:spacing w:after="0" w:line="240" w:lineRule="auto"/>
                        <w:rPr>
                          <w:rFonts w:ascii="Arial" w:hAnsi="Arial" w:cs="Arial"/>
                          <w:iCs/>
                          <w:color w:val="000000" w:themeColor="text1"/>
                          <w:sz w:val="20"/>
                          <w:szCs w:val="20"/>
                        </w:rPr>
                      </w:pPr>
                      <w:r w:rsidRPr="00F839B7">
                        <w:rPr>
                          <w:rFonts w:ascii="Arial" w:hAnsi="Arial" w:cs="Arial"/>
                          <w:iCs/>
                          <w:color w:val="000000" w:themeColor="text1"/>
                          <w:sz w:val="20"/>
                          <w:szCs w:val="20"/>
                        </w:rPr>
                        <w:t>NHSBT in partnership with the National Institute of Health Research (NIHR) has funded further new NIHR Blood and Transplant Research Units (BTRUs) launched in 2022 as centres of multidisciplinary research excellence including data driven transfusion practice.</w:t>
                      </w:r>
                    </w:p>
                    <w:p w14:paraId="372D27B3" w14:textId="27A05765" w:rsidR="00F64DDB" w:rsidRDefault="00F64DDB" w:rsidP="00F64DDB">
                      <w:pPr>
                        <w:pStyle w:val="ListParagraph"/>
                        <w:spacing w:after="0" w:line="240" w:lineRule="auto"/>
                        <w:rPr>
                          <w:iCs/>
                          <w:color w:val="000000" w:themeColor="text1"/>
                        </w:rPr>
                      </w:pPr>
                      <w:hyperlink r:id="rId56" w:history="1">
                        <w:r w:rsidRPr="00F64DDB">
                          <w:rPr>
                            <w:iCs/>
                            <w:color w:val="000000" w:themeColor="text1"/>
                          </w:rPr>
                          <w:t>https://www.nhsbt.nhs.uk/research-and-development/current-research/btrus/data-driven-transfusion-practice/</w:t>
                        </w:r>
                      </w:hyperlink>
                    </w:p>
                    <w:p w14:paraId="093C681E" w14:textId="1CAFDEAE" w:rsidR="00F64DDB" w:rsidRPr="00F64DDB" w:rsidRDefault="00F64DDB" w:rsidP="00F64DDB">
                      <w:pPr>
                        <w:jc w:val="center"/>
                        <w:rPr>
                          <w:color w:val="000000" w:themeColor="text1"/>
                          <w:sz w:val="24"/>
                          <w:szCs w:val="24"/>
                        </w:rPr>
                      </w:pPr>
                      <w:r w:rsidRPr="00F64DDB">
                        <w:rPr>
                          <w:rFonts w:ascii="Arial" w:hAnsi="Arial" w:cs="Arial"/>
                          <w:iCs/>
                          <w:color w:val="000000" w:themeColor="text1"/>
                        </w:rPr>
                        <w:t xml:space="preserve">NHSBT has established the HAEM-MATCH consortium that aims to develop algorithms to optimise the allocation of genotyped blood to patients and to optimise the collection of blood from the donor pool by </w:t>
                      </w:r>
                      <w:r w:rsidRPr="00F64DDB">
                        <w:rPr>
                          <w:rFonts w:ascii="Arial" w:hAnsi="Arial" w:cs="Arial"/>
                          <w:iCs/>
                          <w:color w:val="000000" w:themeColor="text1"/>
                        </w:rPr>
                        <w:t>type.</w:t>
                      </w:r>
                    </w:p>
                  </w:txbxContent>
                </v:textbox>
                <w10:wrap type="topAndBottom" anchorx="margin"/>
              </v:roundrect>
            </w:pict>
          </mc:Fallback>
        </mc:AlternateContent>
      </w:r>
      <w:r w:rsidR="00941E07" w:rsidRPr="0001075E">
        <w:rPr>
          <w:rFonts w:ascii="Arial" w:hAnsi="Arial" w:cs="Arial"/>
          <w:color w:val="000000"/>
          <w:sz w:val="20"/>
          <w:szCs w:val="20"/>
        </w:rPr>
        <w:t xml:space="preserve"> </w:t>
      </w:r>
    </w:p>
    <w:sectPr w:rsidR="00941E07" w:rsidSect="005D2DB3">
      <w:headerReference w:type="default" r:id="rId57"/>
      <w:footerReference w:type="default" r:id="rId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E060" w14:textId="77777777" w:rsidR="00C42810" w:rsidRDefault="00C42810" w:rsidP="00130788">
      <w:pPr>
        <w:spacing w:after="0" w:line="240" w:lineRule="auto"/>
      </w:pPr>
      <w:r>
        <w:separator/>
      </w:r>
    </w:p>
  </w:endnote>
  <w:endnote w:type="continuationSeparator" w:id="0">
    <w:p w14:paraId="6E3AE426" w14:textId="77777777" w:rsidR="00C42810" w:rsidRDefault="00C42810" w:rsidP="00130788">
      <w:pPr>
        <w:spacing w:after="0" w:line="240" w:lineRule="auto"/>
      </w:pPr>
      <w:r>
        <w:continuationSeparator/>
      </w:r>
    </w:p>
  </w:endnote>
  <w:endnote w:type="continuationNotice" w:id="1">
    <w:p w14:paraId="57E382EC" w14:textId="77777777" w:rsidR="00C42810" w:rsidRDefault="00C42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6C9F" w14:textId="77777777" w:rsidR="00387390" w:rsidRDefault="00387390">
    <w:pPr>
      <w:pStyle w:val="Footer"/>
    </w:pPr>
    <w:r>
      <w:t xml:space="preserve">                                                                                                                                                                                                                                                                    </w:t>
    </w:r>
  </w:p>
  <w:p w14:paraId="4C8D9A6D" w14:textId="236C6365" w:rsidR="00387390" w:rsidRPr="00387390" w:rsidRDefault="00387390" w:rsidP="00387390">
    <w:pPr>
      <w:pStyle w:val="Footer"/>
      <w:ind w:left="12960"/>
      <w:rPr>
        <w:rFonts w:ascii="Arial" w:hAnsi="Arial" w:cs="Arial"/>
        <w:b/>
        <w:bCs/>
      </w:rPr>
    </w:pPr>
    <w:r w:rsidRPr="00387390">
      <w:rPr>
        <w:rFonts w:ascii="Arial" w:hAnsi="Arial" w:cs="Arial"/>
        <w:b/>
        <w:bCs/>
      </w:rPr>
      <w:t xml:space="preserve">                                                                                                                                                                                                                                                                     </w:t>
    </w:r>
    <w:r>
      <w:rPr>
        <w:rFonts w:ascii="Arial" w:hAnsi="Arial" w:cs="Arial"/>
        <w:b/>
        <w:bCs/>
      </w:rPr>
      <w:t xml:space="preserve">                   </w:t>
    </w:r>
    <w:r w:rsidRPr="00387390">
      <w:rPr>
        <w:rFonts w:ascii="Arial" w:hAnsi="Arial" w:cs="Arial"/>
        <w:b/>
        <w:bC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897B" w14:textId="77777777" w:rsidR="00C42810" w:rsidRDefault="00C42810" w:rsidP="00130788">
      <w:pPr>
        <w:spacing w:after="0" w:line="240" w:lineRule="auto"/>
      </w:pPr>
      <w:r>
        <w:separator/>
      </w:r>
    </w:p>
  </w:footnote>
  <w:footnote w:type="continuationSeparator" w:id="0">
    <w:p w14:paraId="16EFBB3B" w14:textId="77777777" w:rsidR="00C42810" w:rsidRDefault="00C42810" w:rsidP="00130788">
      <w:pPr>
        <w:spacing w:after="0" w:line="240" w:lineRule="auto"/>
      </w:pPr>
      <w:r>
        <w:continuationSeparator/>
      </w:r>
    </w:p>
  </w:footnote>
  <w:footnote w:type="continuationNotice" w:id="1">
    <w:p w14:paraId="2CF22157" w14:textId="77777777" w:rsidR="00C42810" w:rsidRDefault="00C428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6CD6" w14:textId="184D480B" w:rsidR="00A32BB8" w:rsidRPr="00A32BB8" w:rsidRDefault="00A32BB8" w:rsidP="00A32BB8">
    <w:pPr>
      <w:pStyle w:val="Header"/>
      <w:jc w:val="center"/>
    </w:pPr>
    <w:r>
      <w:rPr>
        <w:noProof/>
      </w:rPr>
      <w:drawing>
        <wp:anchor distT="0" distB="0" distL="114300" distR="114300" simplePos="0" relativeHeight="251665408" behindDoc="0" locked="0" layoutInCell="1" allowOverlap="1" wp14:anchorId="64807B54" wp14:editId="4232CF19">
          <wp:simplePos x="0" y="0"/>
          <wp:positionH relativeFrom="margin">
            <wp:posOffset>-590550</wp:posOffset>
          </wp:positionH>
          <wp:positionV relativeFrom="paragraph">
            <wp:posOffset>-211455</wp:posOffset>
          </wp:positionV>
          <wp:extent cx="2466975" cy="67183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66975" cy="671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3FDB0F5" wp14:editId="5FA6E40A">
          <wp:simplePos x="0" y="0"/>
          <wp:positionH relativeFrom="column">
            <wp:posOffset>7476490</wp:posOffset>
          </wp:positionH>
          <wp:positionV relativeFrom="paragraph">
            <wp:posOffset>-201930</wp:posOffset>
          </wp:positionV>
          <wp:extent cx="2009775" cy="784860"/>
          <wp:effectExtent l="0" t="0" r="9525" b="0"/>
          <wp:wrapTopAndBottom/>
          <wp:docPr id="2"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09775" cy="784860"/>
                  </a:xfrm>
                  <a:prstGeom prst="rect">
                    <a:avLst/>
                  </a:prstGeom>
                </pic:spPr>
              </pic:pic>
            </a:graphicData>
          </a:graphic>
          <wp14:sizeRelH relativeFrom="margin">
            <wp14:pctWidth>0</wp14:pctWidth>
          </wp14:sizeRelH>
          <wp14:sizeRelV relativeFrom="margin">
            <wp14:pctHeight>0</wp14:pctHeight>
          </wp14:sizeRelV>
        </wp:anchor>
      </w:drawing>
    </w:r>
    <w:r w:rsidR="002F1570" w:rsidRPr="0001075E">
      <w:rPr>
        <w:rFonts w:ascii="Arial" w:hAnsi="Arial" w:cs="Arial"/>
        <w:b/>
        <w:bCs/>
        <w:color w:val="C00000"/>
        <w:sz w:val="24"/>
        <w:szCs w:val="24"/>
      </w:rPr>
      <w:t>Transfusion 2024 A five-year strategy for clinical and labor</w:t>
    </w:r>
    <w:r w:rsidR="00721C6C" w:rsidRPr="0001075E">
      <w:rPr>
        <w:rFonts w:ascii="Arial" w:hAnsi="Arial" w:cs="Arial"/>
        <w:b/>
        <w:bCs/>
        <w:color w:val="C00000"/>
        <w:sz w:val="24"/>
        <w:szCs w:val="24"/>
      </w:rPr>
      <w:t>atory transfusion in England</w:t>
    </w:r>
  </w:p>
  <w:p w14:paraId="6D024C5E" w14:textId="26BFBD36" w:rsidR="002F1570" w:rsidRPr="0001075E" w:rsidRDefault="00A32BB8" w:rsidP="00A32BB8">
    <w:pPr>
      <w:pStyle w:val="Header"/>
      <w:jc w:val="center"/>
      <w:rPr>
        <w:rFonts w:ascii="Arial" w:hAnsi="Arial" w:cs="Arial"/>
        <w:b/>
        <w:bCs/>
        <w:color w:val="C00000"/>
        <w:sz w:val="24"/>
        <w:szCs w:val="24"/>
      </w:rPr>
    </w:pPr>
    <w:r>
      <w:rPr>
        <w:rFonts w:ascii="Arial" w:hAnsi="Arial" w:cs="Arial"/>
        <w:b/>
        <w:bCs/>
        <w:color w:val="C00000"/>
        <w:sz w:val="24"/>
        <w:szCs w:val="24"/>
      </w:rPr>
      <w:t>Ch</w:t>
    </w:r>
    <w:r w:rsidR="00A15DDA" w:rsidRPr="0001075E">
      <w:rPr>
        <w:rFonts w:ascii="Arial" w:hAnsi="Arial" w:cs="Arial"/>
        <w:b/>
        <w:bCs/>
        <w:color w:val="C00000"/>
        <w:sz w:val="24"/>
        <w:szCs w:val="24"/>
      </w:rPr>
      <w:t xml:space="preserve">ecklist </w:t>
    </w:r>
    <w:r w:rsidR="002F1570" w:rsidRPr="0001075E">
      <w:rPr>
        <w:rFonts w:ascii="Arial" w:hAnsi="Arial" w:cs="Arial"/>
        <w:b/>
        <w:bCs/>
        <w:color w:val="C00000"/>
        <w:sz w:val="24"/>
        <w:szCs w:val="24"/>
      </w:rPr>
      <w:t>for hospitals</w:t>
    </w:r>
  </w:p>
  <w:p w14:paraId="2593447D" w14:textId="77777777" w:rsidR="0001075E" w:rsidRDefault="0001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7B1"/>
    <w:multiLevelType w:val="hybridMultilevel"/>
    <w:tmpl w:val="C290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E25A8"/>
    <w:multiLevelType w:val="hybridMultilevel"/>
    <w:tmpl w:val="34FE5412"/>
    <w:lvl w:ilvl="0" w:tplc="109C7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71AD4"/>
    <w:multiLevelType w:val="hybridMultilevel"/>
    <w:tmpl w:val="DFC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72440"/>
    <w:multiLevelType w:val="hybridMultilevel"/>
    <w:tmpl w:val="A8C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73EE0"/>
    <w:multiLevelType w:val="hybridMultilevel"/>
    <w:tmpl w:val="0AB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84349">
    <w:abstractNumId w:val="4"/>
  </w:num>
  <w:num w:numId="2" w16cid:durableId="1868567812">
    <w:abstractNumId w:val="1"/>
  </w:num>
  <w:num w:numId="3" w16cid:durableId="1633709317">
    <w:abstractNumId w:val="0"/>
  </w:num>
  <w:num w:numId="4" w16cid:durableId="1577014733">
    <w:abstractNumId w:val="3"/>
  </w:num>
  <w:num w:numId="5" w16cid:durableId="1983078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B3"/>
    <w:rsid w:val="00007E5B"/>
    <w:rsid w:val="000106B0"/>
    <w:rsid w:val="0001075E"/>
    <w:rsid w:val="00013140"/>
    <w:rsid w:val="0002510B"/>
    <w:rsid w:val="000428E7"/>
    <w:rsid w:val="00065583"/>
    <w:rsid w:val="000942CD"/>
    <w:rsid w:val="000A6CC1"/>
    <w:rsid w:val="000C7122"/>
    <w:rsid w:val="00112736"/>
    <w:rsid w:val="001219FD"/>
    <w:rsid w:val="00130788"/>
    <w:rsid w:val="00137EA7"/>
    <w:rsid w:val="001502DF"/>
    <w:rsid w:val="001641A9"/>
    <w:rsid w:val="00180959"/>
    <w:rsid w:val="001923B6"/>
    <w:rsid w:val="001C65BD"/>
    <w:rsid w:val="001D1889"/>
    <w:rsid w:val="001D3A59"/>
    <w:rsid w:val="002203E5"/>
    <w:rsid w:val="00270A38"/>
    <w:rsid w:val="002A4589"/>
    <w:rsid w:val="002B1E0F"/>
    <w:rsid w:val="002B6F54"/>
    <w:rsid w:val="002C5D5C"/>
    <w:rsid w:val="002D0973"/>
    <w:rsid w:val="002D3785"/>
    <w:rsid w:val="002E278D"/>
    <w:rsid w:val="002E3C44"/>
    <w:rsid w:val="002F1570"/>
    <w:rsid w:val="002F7033"/>
    <w:rsid w:val="00311271"/>
    <w:rsid w:val="00313ED6"/>
    <w:rsid w:val="00327741"/>
    <w:rsid w:val="00374AED"/>
    <w:rsid w:val="00385269"/>
    <w:rsid w:val="00387390"/>
    <w:rsid w:val="003A537C"/>
    <w:rsid w:val="003C2BCD"/>
    <w:rsid w:val="003E558B"/>
    <w:rsid w:val="003E6ECD"/>
    <w:rsid w:val="00420054"/>
    <w:rsid w:val="00464DCA"/>
    <w:rsid w:val="004777E9"/>
    <w:rsid w:val="00485F2E"/>
    <w:rsid w:val="00486C06"/>
    <w:rsid w:val="00486CE3"/>
    <w:rsid w:val="004C1BAC"/>
    <w:rsid w:val="004C48CE"/>
    <w:rsid w:val="00501303"/>
    <w:rsid w:val="00517C0A"/>
    <w:rsid w:val="0053301C"/>
    <w:rsid w:val="00541FCA"/>
    <w:rsid w:val="00546033"/>
    <w:rsid w:val="00551C86"/>
    <w:rsid w:val="00573BA8"/>
    <w:rsid w:val="00577283"/>
    <w:rsid w:val="00581764"/>
    <w:rsid w:val="00581BB5"/>
    <w:rsid w:val="005931D8"/>
    <w:rsid w:val="005A50AD"/>
    <w:rsid w:val="005B4F55"/>
    <w:rsid w:val="005D13C7"/>
    <w:rsid w:val="005D2DB3"/>
    <w:rsid w:val="005D5F90"/>
    <w:rsid w:val="005E5A9F"/>
    <w:rsid w:val="005E7CAA"/>
    <w:rsid w:val="006210E3"/>
    <w:rsid w:val="006223C5"/>
    <w:rsid w:val="00664043"/>
    <w:rsid w:val="00665B15"/>
    <w:rsid w:val="006A0E7B"/>
    <w:rsid w:val="006A1881"/>
    <w:rsid w:val="006F2E9C"/>
    <w:rsid w:val="006F709F"/>
    <w:rsid w:val="00721C6C"/>
    <w:rsid w:val="00760EBB"/>
    <w:rsid w:val="0078043B"/>
    <w:rsid w:val="00780C99"/>
    <w:rsid w:val="007909CE"/>
    <w:rsid w:val="007B7783"/>
    <w:rsid w:val="007C34F7"/>
    <w:rsid w:val="007C472F"/>
    <w:rsid w:val="007F2856"/>
    <w:rsid w:val="008549B9"/>
    <w:rsid w:val="008E67B2"/>
    <w:rsid w:val="008F2CF0"/>
    <w:rsid w:val="00902922"/>
    <w:rsid w:val="00905461"/>
    <w:rsid w:val="00924B07"/>
    <w:rsid w:val="00941E07"/>
    <w:rsid w:val="00951DC0"/>
    <w:rsid w:val="00952601"/>
    <w:rsid w:val="009562E1"/>
    <w:rsid w:val="009B07E5"/>
    <w:rsid w:val="009C7B44"/>
    <w:rsid w:val="009E02DE"/>
    <w:rsid w:val="00A154C0"/>
    <w:rsid w:val="00A15DDA"/>
    <w:rsid w:val="00A240D0"/>
    <w:rsid w:val="00A32BB8"/>
    <w:rsid w:val="00A4433A"/>
    <w:rsid w:val="00A62C91"/>
    <w:rsid w:val="00A76305"/>
    <w:rsid w:val="00AA2BB9"/>
    <w:rsid w:val="00B10B18"/>
    <w:rsid w:val="00B13A45"/>
    <w:rsid w:val="00B234DD"/>
    <w:rsid w:val="00B67CB5"/>
    <w:rsid w:val="00B83CF5"/>
    <w:rsid w:val="00C047D4"/>
    <w:rsid w:val="00C42810"/>
    <w:rsid w:val="00C51E01"/>
    <w:rsid w:val="00C551F8"/>
    <w:rsid w:val="00C706AA"/>
    <w:rsid w:val="00C97E1E"/>
    <w:rsid w:val="00CC57E1"/>
    <w:rsid w:val="00CE01DA"/>
    <w:rsid w:val="00CE5EA5"/>
    <w:rsid w:val="00D0689E"/>
    <w:rsid w:val="00D147EF"/>
    <w:rsid w:val="00D819CE"/>
    <w:rsid w:val="00D81C17"/>
    <w:rsid w:val="00D83597"/>
    <w:rsid w:val="00D905FC"/>
    <w:rsid w:val="00D9729C"/>
    <w:rsid w:val="00DA54A6"/>
    <w:rsid w:val="00DC0ED1"/>
    <w:rsid w:val="00DC143A"/>
    <w:rsid w:val="00DC18E0"/>
    <w:rsid w:val="00DC547D"/>
    <w:rsid w:val="00DD6C20"/>
    <w:rsid w:val="00DF589E"/>
    <w:rsid w:val="00E1319F"/>
    <w:rsid w:val="00E32C06"/>
    <w:rsid w:val="00E42F6F"/>
    <w:rsid w:val="00E43437"/>
    <w:rsid w:val="00E54E23"/>
    <w:rsid w:val="00E61710"/>
    <w:rsid w:val="00E624FF"/>
    <w:rsid w:val="00E76241"/>
    <w:rsid w:val="00E86DDE"/>
    <w:rsid w:val="00E9212E"/>
    <w:rsid w:val="00EB1CA2"/>
    <w:rsid w:val="00EB2E9F"/>
    <w:rsid w:val="00EC1B0D"/>
    <w:rsid w:val="00ED13F0"/>
    <w:rsid w:val="00F35DF3"/>
    <w:rsid w:val="00F46DF5"/>
    <w:rsid w:val="00F549BD"/>
    <w:rsid w:val="00F64DDB"/>
    <w:rsid w:val="00F66595"/>
    <w:rsid w:val="00F839B7"/>
    <w:rsid w:val="00FA52CD"/>
    <w:rsid w:val="00FB1ADE"/>
    <w:rsid w:val="00FC1B3C"/>
    <w:rsid w:val="00FD4769"/>
    <w:rsid w:val="00FE3D27"/>
    <w:rsid w:val="00FF4447"/>
    <w:rsid w:val="00FF5E75"/>
    <w:rsid w:val="01F050D7"/>
    <w:rsid w:val="03931925"/>
    <w:rsid w:val="04FEE2D3"/>
    <w:rsid w:val="05C0189E"/>
    <w:rsid w:val="05F61955"/>
    <w:rsid w:val="06C67828"/>
    <w:rsid w:val="0799D73C"/>
    <w:rsid w:val="07C7AC0E"/>
    <w:rsid w:val="081A2972"/>
    <w:rsid w:val="0845EBBC"/>
    <w:rsid w:val="08607866"/>
    <w:rsid w:val="0879F9E9"/>
    <w:rsid w:val="0890BBB5"/>
    <w:rsid w:val="0A2756CC"/>
    <w:rsid w:val="0C32E362"/>
    <w:rsid w:val="0C7D714F"/>
    <w:rsid w:val="0CF826C9"/>
    <w:rsid w:val="0CFA7313"/>
    <w:rsid w:val="0D2D0E8C"/>
    <w:rsid w:val="0D62BCF5"/>
    <w:rsid w:val="0D66FF9F"/>
    <w:rsid w:val="10A2940F"/>
    <w:rsid w:val="10CEFD66"/>
    <w:rsid w:val="1552F4DA"/>
    <w:rsid w:val="15DBF883"/>
    <w:rsid w:val="16103658"/>
    <w:rsid w:val="16142AA5"/>
    <w:rsid w:val="17A499F1"/>
    <w:rsid w:val="17C402FC"/>
    <w:rsid w:val="18859D6E"/>
    <w:rsid w:val="1A369027"/>
    <w:rsid w:val="1BF29A9A"/>
    <w:rsid w:val="1FB829EA"/>
    <w:rsid w:val="1FFED4EA"/>
    <w:rsid w:val="204DD8DB"/>
    <w:rsid w:val="20D47752"/>
    <w:rsid w:val="20E0667B"/>
    <w:rsid w:val="21E24ECE"/>
    <w:rsid w:val="22E172D6"/>
    <w:rsid w:val="244EDFA6"/>
    <w:rsid w:val="2605C4FD"/>
    <w:rsid w:val="26C6FAC8"/>
    <w:rsid w:val="28519052"/>
    <w:rsid w:val="293D65BF"/>
    <w:rsid w:val="29B44224"/>
    <w:rsid w:val="2B7008B7"/>
    <w:rsid w:val="2C750681"/>
    <w:rsid w:val="2C88551C"/>
    <w:rsid w:val="2E10D6E2"/>
    <w:rsid w:val="3150652A"/>
    <w:rsid w:val="33B5CFD7"/>
    <w:rsid w:val="3430BFF1"/>
    <w:rsid w:val="348805EC"/>
    <w:rsid w:val="3709D1F8"/>
    <w:rsid w:val="370FC645"/>
    <w:rsid w:val="3AE3F5EC"/>
    <w:rsid w:val="3B69A804"/>
    <w:rsid w:val="3D79137C"/>
    <w:rsid w:val="3D9A532B"/>
    <w:rsid w:val="3E3A4947"/>
    <w:rsid w:val="3F3555BA"/>
    <w:rsid w:val="4082FC9F"/>
    <w:rsid w:val="41C204D8"/>
    <w:rsid w:val="424C849F"/>
    <w:rsid w:val="42525E61"/>
    <w:rsid w:val="43142E50"/>
    <w:rsid w:val="44850159"/>
    <w:rsid w:val="456AFD04"/>
    <w:rsid w:val="4639FA17"/>
    <w:rsid w:val="4689232B"/>
    <w:rsid w:val="471FF5C2"/>
    <w:rsid w:val="47BCA21B"/>
    <w:rsid w:val="486C20E3"/>
    <w:rsid w:val="49ADF741"/>
    <w:rsid w:val="4A579684"/>
    <w:rsid w:val="4E88D3FB"/>
    <w:rsid w:val="50C6D808"/>
    <w:rsid w:val="524F59CE"/>
    <w:rsid w:val="53187D1F"/>
    <w:rsid w:val="53EB2A2F"/>
    <w:rsid w:val="54BC0D6A"/>
    <w:rsid w:val="571CF12F"/>
    <w:rsid w:val="5ED4B6D1"/>
    <w:rsid w:val="60F70D73"/>
    <w:rsid w:val="61B79668"/>
    <w:rsid w:val="668B078B"/>
    <w:rsid w:val="682CB1AE"/>
    <w:rsid w:val="6B6C3FF6"/>
    <w:rsid w:val="6C1903AF"/>
    <w:rsid w:val="6C82AD3B"/>
    <w:rsid w:val="6DD3CBA9"/>
    <w:rsid w:val="6E961970"/>
    <w:rsid w:val="70E7BE87"/>
    <w:rsid w:val="71504C66"/>
    <w:rsid w:val="72367A4B"/>
    <w:rsid w:val="72AC7353"/>
    <w:rsid w:val="738FE52D"/>
    <w:rsid w:val="759826E4"/>
    <w:rsid w:val="75D8A1F8"/>
    <w:rsid w:val="75E5CF4C"/>
    <w:rsid w:val="782BC0DF"/>
    <w:rsid w:val="78E19595"/>
    <w:rsid w:val="7954F492"/>
    <w:rsid w:val="7ACF142A"/>
    <w:rsid w:val="7CAE0106"/>
    <w:rsid w:val="7CFF32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29CB2"/>
  <w15:chartTrackingRefBased/>
  <w15:docId w15:val="{283E15A3-635C-4C32-84E3-DEFE2A8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D4"/>
  </w:style>
  <w:style w:type="paragraph" w:styleId="Heading1">
    <w:name w:val="heading 1"/>
    <w:basedOn w:val="Normal"/>
    <w:link w:val="Heading1Char"/>
    <w:uiPriority w:val="9"/>
    <w:qFormat/>
    <w:rsid w:val="00D8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5D2DB3"/>
    <w:pPr>
      <w:autoSpaceDE w:val="0"/>
      <w:autoSpaceDN w:val="0"/>
      <w:adjustRightInd w:val="0"/>
      <w:spacing w:after="0" w:line="201" w:lineRule="atLeast"/>
    </w:pPr>
    <w:rPr>
      <w:rFonts w:ascii="Frutiger 55 Roman" w:hAnsi="Frutiger 55 Roman"/>
      <w:sz w:val="24"/>
      <w:szCs w:val="24"/>
    </w:rPr>
  </w:style>
  <w:style w:type="paragraph" w:styleId="ListParagraph">
    <w:name w:val="List Paragraph"/>
    <w:basedOn w:val="Normal"/>
    <w:uiPriority w:val="34"/>
    <w:qFormat/>
    <w:rsid w:val="005D2DB3"/>
    <w:pPr>
      <w:ind w:left="720"/>
      <w:contextualSpacing/>
    </w:pPr>
  </w:style>
  <w:style w:type="paragraph" w:customStyle="1" w:styleId="Pa8">
    <w:name w:val="Pa8"/>
    <w:basedOn w:val="Normal"/>
    <w:next w:val="Normal"/>
    <w:uiPriority w:val="99"/>
    <w:rsid w:val="00AA2BB9"/>
    <w:pPr>
      <w:autoSpaceDE w:val="0"/>
      <w:autoSpaceDN w:val="0"/>
      <w:adjustRightInd w:val="0"/>
      <w:spacing w:after="0" w:line="201" w:lineRule="atLeast"/>
    </w:pPr>
    <w:rPr>
      <w:rFonts w:ascii="Frutiger 55 Roman" w:hAnsi="Frutiger 55 Roman"/>
      <w:sz w:val="24"/>
      <w:szCs w:val="24"/>
    </w:rPr>
  </w:style>
  <w:style w:type="character" w:customStyle="1" w:styleId="A9">
    <w:name w:val="A9"/>
    <w:uiPriority w:val="99"/>
    <w:rsid w:val="00AA2BB9"/>
    <w:rPr>
      <w:rFonts w:cs="Frutiger 55 Roman"/>
      <w:color w:val="000000"/>
      <w:sz w:val="20"/>
      <w:szCs w:val="20"/>
      <w:u w:val="single"/>
    </w:rPr>
  </w:style>
  <w:style w:type="paragraph" w:customStyle="1" w:styleId="Pa11">
    <w:name w:val="Pa11"/>
    <w:basedOn w:val="Normal"/>
    <w:next w:val="Normal"/>
    <w:uiPriority w:val="99"/>
    <w:rsid w:val="00AA2BB9"/>
    <w:pPr>
      <w:autoSpaceDE w:val="0"/>
      <w:autoSpaceDN w:val="0"/>
      <w:adjustRightInd w:val="0"/>
      <w:spacing w:after="0" w:line="201" w:lineRule="atLeast"/>
    </w:pPr>
    <w:rPr>
      <w:rFonts w:ascii="Frutiger 55 Roman" w:hAnsi="Frutiger 55 Roman"/>
      <w:sz w:val="24"/>
      <w:szCs w:val="24"/>
    </w:rPr>
  </w:style>
  <w:style w:type="paragraph" w:customStyle="1" w:styleId="Default">
    <w:name w:val="Default"/>
    <w:rsid w:val="00AA2BB9"/>
    <w:pPr>
      <w:autoSpaceDE w:val="0"/>
      <w:autoSpaceDN w:val="0"/>
      <w:adjustRightInd w:val="0"/>
      <w:spacing w:after="0" w:line="240" w:lineRule="auto"/>
    </w:pPr>
    <w:rPr>
      <w:rFonts w:ascii="Frutiger 55 Roman" w:hAnsi="Frutiger 55 Roman" w:cs="Frutiger 55 Roman"/>
      <w:color w:val="000000"/>
      <w:sz w:val="24"/>
      <w:szCs w:val="24"/>
    </w:rPr>
  </w:style>
  <w:style w:type="paragraph" w:customStyle="1" w:styleId="Pa9">
    <w:name w:val="Pa9"/>
    <w:basedOn w:val="Default"/>
    <w:next w:val="Default"/>
    <w:uiPriority w:val="99"/>
    <w:rsid w:val="00AA2BB9"/>
    <w:pPr>
      <w:spacing w:line="201" w:lineRule="atLeast"/>
    </w:pPr>
    <w:rPr>
      <w:rFonts w:cstheme="minorBidi"/>
      <w:color w:val="auto"/>
    </w:rPr>
  </w:style>
  <w:style w:type="paragraph" w:customStyle="1" w:styleId="Pa16">
    <w:name w:val="Pa16"/>
    <w:basedOn w:val="Default"/>
    <w:next w:val="Default"/>
    <w:uiPriority w:val="99"/>
    <w:rsid w:val="00AA2BB9"/>
    <w:pPr>
      <w:spacing w:line="201" w:lineRule="atLeast"/>
    </w:pPr>
    <w:rPr>
      <w:rFonts w:cstheme="minorBidi"/>
      <w:color w:val="auto"/>
    </w:rPr>
  </w:style>
  <w:style w:type="character" w:styleId="CommentReference">
    <w:name w:val="annotation reference"/>
    <w:basedOn w:val="DefaultParagraphFont"/>
    <w:uiPriority w:val="99"/>
    <w:semiHidden/>
    <w:unhideWhenUsed/>
    <w:rsid w:val="00112736"/>
    <w:rPr>
      <w:sz w:val="16"/>
      <w:szCs w:val="16"/>
    </w:rPr>
  </w:style>
  <w:style w:type="paragraph" w:styleId="CommentText">
    <w:name w:val="annotation text"/>
    <w:basedOn w:val="Normal"/>
    <w:link w:val="CommentTextChar"/>
    <w:uiPriority w:val="99"/>
    <w:unhideWhenUsed/>
    <w:rsid w:val="00112736"/>
    <w:pPr>
      <w:spacing w:line="240" w:lineRule="auto"/>
    </w:pPr>
    <w:rPr>
      <w:sz w:val="20"/>
      <w:szCs w:val="20"/>
    </w:rPr>
  </w:style>
  <w:style w:type="character" w:customStyle="1" w:styleId="CommentTextChar">
    <w:name w:val="Comment Text Char"/>
    <w:basedOn w:val="DefaultParagraphFont"/>
    <w:link w:val="CommentText"/>
    <w:uiPriority w:val="99"/>
    <w:rsid w:val="00112736"/>
    <w:rPr>
      <w:sz w:val="20"/>
      <w:szCs w:val="20"/>
    </w:rPr>
  </w:style>
  <w:style w:type="paragraph" w:styleId="CommentSubject">
    <w:name w:val="annotation subject"/>
    <w:basedOn w:val="CommentText"/>
    <w:next w:val="CommentText"/>
    <w:link w:val="CommentSubjectChar"/>
    <w:uiPriority w:val="99"/>
    <w:semiHidden/>
    <w:unhideWhenUsed/>
    <w:rsid w:val="00112736"/>
    <w:rPr>
      <w:b/>
      <w:bCs/>
    </w:rPr>
  </w:style>
  <w:style w:type="character" w:customStyle="1" w:styleId="CommentSubjectChar">
    <w:name w:val="Comment Subject Char"/>
    <w:basedOn w:val="CommentTextChar"/>
    <w:link w:val="CommentSubject"/>
    <w:uiPriority w:val="99"/>
    <w:semiHidden/>
    <w:rsid w:val="00112736"/>
    <w:rPr>
      <w:b/>
      <w:bCs/>
      <w:sz w:val="20"/>
      <w:szCs w:val="20"/>
    </w:rPr>
  </w:style>
  <w:style w:type="character" w:styleId="Hyperlink">
    <w:name w:val="Hyperlink"/>
    <w:basedOn w:val="DefaultParagraphFont"/>
    <w:uiPriority w:val="99"/>
    <w:unhideWhenUsed/>
    <w:rsid w:val="00112736"/>
    <w:rPr>
      <w:color w:val="0563C1" w:themeColor="hyperlink"/>
      <w:u w:val="single"/>
    </w:rPr>
  </w:style>
  <w:style w:type="character" w:customStyle="1" w:styleId="UnresolvedMention1">
    <w:name w:val="Unresolved Mention1"/>
    <w:basedOn w:val="DefaultParagraphFont"/>
    <w:uiPriority w:val="99"/>
    <w:semiHidden/>
    <w:unhideWhenUsed/>
    <w:rsid w:val="00112736"/>
    <w:rPr>
      <w:color w:val="605E5C"/>
      <w:shd w:val="clear" w:color="auto" w:fill="E1DFDD"/>
    </w:rPr>
  </w:style>
  <w:style w:type="paragraph" w:styleId="Header">
    <w:name w:val="header"/>
    <w:basedOn w:val="Normal"/>
    <w:link w:val="HeaderChar"/>
    <w:uiPriority w:val="99"/>
    <w:unhideWhenUsed/>
    <w:rsid w:val="00130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788"/>
  </w:style>
  <w:style w:type="paragraph" w:styleId="Footer">
    <w:name w:val="footer"/>
    <w:basedOn w:val="Normal"/>
    <w:link w:val="FooterChar"/>
    <w:uiPriority w:val="99"/>
    <w:unhideWhenUsed/>
    <w:rsid w:val="00130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788"/>
  </w:style>
  <w:style w:type="character" w:styleId="FollowedHyperlink">
    <w:name w:val="FollowedHyperlink"/>
    <w:basedOn w:val="DefaultParagraphFont"/>
    <w:uiPriority w:val="99"/>
    <w:semiHidden/>
    <w:unhideWhenUsed/>
    <w:rsid w:val="00A154C0"/>
    <w:rPr>
      <w:color w:val="954F72" w:themeColor="followedHyperlink"/>
      <w:u w:val="single"/>
    </w:rPr>
  </w:style>
  <w:style w:type="character" w:styleId="Emphasis">
    <w:name w:val="Emphasis"/>
    <w:basedOn w:val="DefaultParagraphFont"/>
    <w:uiPriority w:val="20"/>
    <w:qFormat/>
    <w:rsid w:val="003C2BCD"/>
    <w:rPr>
      <w:i/>
      <w:iCs/>
    </w:rPr>
  </w:style>
  <w:style w:type="paragraph" w:styleId="BalloonText">
    <w:name w:val="Balloon Text"/>
    <w:basedOn w:val="Normal"/>
    <w:link w:val="BalloonTextChar"/>
    <w:uiPriority w:val="99"/>
    <w:semiHidden/>
    <w:unhideWhenUsed/>
    <w:rsid w:val="0038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269"/>
    <w:rPr>
      <w:rFonts w:ascii="Segoe UI" w:hAnsi="Segoe UI" w:cs="Segoe UI"/>
      <w:sz w:val="18"/>
      <w:szCs w:val="18"/>
    </w:rPr>
  </w:style>
  <w:style w:type="paragraph" w:styleId="Revision">
    <w:name w:val="Revision"/>
    <w:hidden/>
    <w:uiPriority w:val="99"/>
    <w:semiHidden/>
    <w:rsid w:val="00137EA7"/>
    <w:pPr>
      <w:spacing w:after="0" w:line="240" w:lineRule="auto"/>
    </w:pPr>
  </w:style>
  <w:style w:type="character" w:customStyle="1" w:styleId="UnresolvedMention2">
    <w:name w:val="Unresolved Mention2"/>
    <w:basedOn w:val="DefaultParagraphFont"/>
    <w:uiPriority w:val="99"/>
    <w:semiHidden/>
    <w:unhideWhenUsed/>
    <w:rsid w:val="00E54E23"/>
    <w:rPr>
      <w:color w:val="605E5C"/>
      <w:shd w:val="clear" w:color="auto" w:fill="E1DFDD"/>
    </w:rPr>
  </w:style>
  <w:style w:type="character" w:customStyle="1" w:styleId="UnresolvedMention3">
    <w:name w:val="Unresolved Mention3"/>
    <w:basedOn w:val="DefaultParagraphFont"/>
    <w:uiPriority w:val="99"/>
    <w:semiHidden/>
    <w:unhideWhenUsed/>
    <w:rsid w:val="00905461"/>
    <w:rPr>
      <w:color w:val="605E5C"/>
      <w:shd w:val="clear" w:color="auto" w:fill="E1DFDD"/>
    </w:rPr>
  </w:style>
  <w:style w:type="character" w:customStyle="1" w:styleId="Heading1Char">
    <w:name w:val="Heading 1 Char"/>
    <w:basedOn w:val="DefaultParagraphFont"/>
    <w:link w:val="Heading1"/>
    <w:uiPriority w:val="9"/>
    <w:rsid w:val="00D81C17"/>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31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96402">
      <w:bodyDiv w:val="1"/>
      <w:marLeft w:val="0"/>
      <w:marRight w:val="0"/>
      <w:marTop w:val="0"/>
      <w:marBottom w:val="0"/>
      <w:divBdr>
        <w:top w:val="none" w:sz="0" w:space="0" w:color="auto"/>
        <w:left w:val="none" w:sz="0" w:space="0" w:color="auto"/>
        <w:bottom w:val="none" w:sz="0" w:space="0" w:color="auto"/>
        <w:right w:val="none" w:sz="0" w:space="0" w:color="auto"/>
      </w:divBdr>
    </w:div>
    <w:div w:id="16261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spital.blood.co.uk/audits/national-comparative-audit/reports-grouped-by-year/2021-survey-of-patient-blood-management/" TargetMode="External"/><Relationship Id="rId18" Type="http://schemas.openxmlformats.org/officeDocument/2006/relationships/hyperlink" Target="https://www.transfusionguidelines.org/document-library/documents/pbm-survey-report-2013" TargetMode="External"/><Relationship Id="rId26" Type="http://schemas.openxmlformats.org/officeDocument/2006/relationships/hyperlink" Target="https://hospital.blood.co.uk/training/clinical-courses/" TargetMode="External"/><Relationship Id="rId39" Type="http://schemas.openxmlformats.org/officeDocument/2006/relationships/hyperlink" Target="https://hospital.blood.co.uk/training/scientific-courses/" TargetMode="External"/><Relationship Id="rId21" Type="http://schemas.openxmlformats.org/officeDocument/2006/relationships/hyperlink" Target="https://www.transfusionguidelines.org/" TargetMode="External"/><Relationship Id="rId34" Type="http://schemas.openxmlformats.org/officeDocument/2006/relationships/hyperlink" Target="https://nhsbtdbe.blob.core.windows.net/umbraco-assets-corp/14562/2015-survey-of-patient-blood-management.pdf" TargetMode="External"/><Relationship Id="rId42" Type="http://schemas.openxmlformats.org/officeDocument/2006/relationships/hyperlink" Target="https://www.shotuk.org/wp-content/uploads/myimages/LIMS-Suppliers-Survey-2021-Summary-Report.pdf" TargetMode="External"/><Relationship Id="rId47" Type="http://schemas.openxmlformats.org/officeDocument/2006/relationships/hyperlink" Target="https://www.shotuk.org/reporting/shot-participation-benchmarking/" TargetMode="External"/><Relationship Id="rId50" Type="http://schemas.openxmlformats.org/officeDocument/2006/relationships/hyperlink" Target="https://www.shotuk.org/resources/current-resources/script/" TargetMode="External"/><Relationship Id="rId55" Type="http://schemas.openxmlformats.org/officeDocument/2006/relationships/hyperlink" Target="https://www.nhsbt.nhs.uk/research-and-development/current-research/btrus/data-driven-transfusion-practice/" TargetMode="External"/><Relationship Id="rId7" Type="http://schemas.openxmlformats.org/officeDocument/2006/relationships/hyperlink" Target="https://hospital.blood.co.uk/pbm-toolkit/" TargetMode="External"/><Relationship Id="rId2" Type="http://schemas.openxmlformats.org/officeDocument/2006/relationships/styles" Target="styles.xml"/><Relationship Id="rId16" Type="http://schemas.openxmlformats.org/officeDocument/2006/relationships/hyperlink" Target="https://nhsbtdbe.blob.core.windows.net/umbraco-assets-corp/17064/2018-survey-of-pbm.pdf" TargetMode="External"/><Relationship Id="rId29" Type="http://schemas.openxmlformats.org/officeDocument/2006/relationships/hyperlink" Target="mailto:nhsbtcustomerservice@nhsbt.nhs.uk" TargetMode="External"/><Relationship Id="rId11" Type="http://schemas.openxmlformats.org/officeDocument/2006/relationships/hyperlink" Target="https://hospital.blood.co.uk/audits/national-comparative-audit/reports-grouped-by-year/2021-survey-of-patient-blood-management/" TargetMode="External"/><Relationship Id="rId24" Type="http://schemas.openxmlformats.org/officeDocument/2006/relationships/hyperlink" Target="https://www.bloodstocks.co.uk/" TargetMode="External"/><Relationship Id="rId32" Type="http://schemas.openxmlformats.org/officeDocument/2006/relationships/hyperlink" Target="https://hospital.blood.co.uk/audits/national-comparative-audit/reports-grouped-by-year/2021-survey-of-patient-blood-management/" TargetMode="External"/><Relationship Id="rId37" Type="http://schemas.openxmlformats.org/officeDocument/2006/relationships/hyperlink" Target="https://www.shotuk.org/resources/current-resources/uktlc/" TargetMode="External"/><Relationship Id="rId40" Type="http://schemas.openxmlformats.org/officeDocument/2006/relationships/hyperlink" Target="https://nshcs.hee.nhs.uk/programmes/*" TargetMode="External"/><Relationship Id="rId45" Type="http://schemas.openxmlformats.org/officeDocument/2006/relationships/hyperlink" Target="https://www.shotuk.org/wp-content/uploads/myimages/SHOT-Laboratory-Reporting-Guide.pdf" TargetMode="External"/><Relationship Id="rId53" Type="http://schemas.openxmlformats.org/officeDocument/2006/relationships/hyperlink" Target="https://www.bloodstocks.co.uk/"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hospital.blood.co.uk/audits/national-comparative-audit/reports-grouped-by-year/2021-survey-of-patient-blood-management/" TargetMode="External"/><Relationship Id="rId4" Type="http://schemas.openxmlformats.org/officeDocument/2006/relationships/webSettings" Target="webSettings.xml"/><Relationship Id="rId9" Type="http://schemas.openxmlformats.org/officeDocument/2006/relationships/hyperlink" Target="https://www.nhsbtaudits.co.uk/" TargetMode="External"/><Relationship Id="rId14" Type="http://schemas.openxmlformats.org/officeDocument/2006/relationships/hyperlink" Target="https://www.bloodstocks.co.uk/" TargetMode="External"/><Relationship Id="rId22" Type="http://schemas.openxmlformats.org/officeDocument/2006/relationships/hyperlink" Target="https://nationalbloodtransfusion.co.uk" TargetMode="External"/><Relationship Id="rId27" Type="http://schemas.openxmlformats.org/officeDocument/2006/relationships/hyperlink" Target="https://nhsbtdbe.blob.core.windows.net/umbraco-assets-corp/16330/nma-course-outline-may-19.pdf" TargetMode="External"/><Relationship Id="rId30" Type="http://schemas.openxmlformats.org/officeDocument/2006/relationships/hyperlink" Target="https://www.isbtweb.org/communities/transfusion-practitioners/transfusion-practitioners-tools.html" TargetMode="External"/><Relationship Id="rId35" Type="http://schemas.openxmlformats.org/officeDocument/2006/relationships/hyperlink" Target="https://www.transfusionguidelines.org/document-library/documents/pbm-survey-report-2013" TargetMode="External"/><Relationship Id="rId43" Type="http://schemas.openxmlformats.org/officeDocument/2006/relationships/hyperlink" Target="https://www.bloodstocks.co.uk/" TargetMode="External"/><Relationship Id="rId48" Type="http://schemas.openxmlformats.org/officeDocument/2006/relationships/hyperlink" Target="https://www.england.nhs.uk/patient-safety/incident-response-framework/" TargetMode="External"/><Relationship Id="rId56" Type="http://schemas.openxmlformats.org/officeDocument/2006/relationships/hyperlink" Target="https://www.nhsbt.nhs.uk/research-and-development/current-research/btrus/data-driven-transfusion-practice/" TargetMode="External"/><Relationship Id="rId8" Type="http://schemas.openxmlformats.org/officeDocument/2006/relationships/hyperlink" Target="https://hospital.blood.co.uk/patient-services/patient-blood-management/pre-operative-anaemia/" TargetMode="External"/><Relationship Id="rId51" Type="http://schemas.openxmlformats.org/officeDocument/2006/relationships/hyperlink" Target="https://www.bloodstocks.co.uk/" TargetMode="External"/><Relationship Id="rId3" Type="http://schemas.openxmlformats.org/officeDocument/2006/relationships/settings" Target="settings.xml"/><Relationship Id="rId12" Type="http://schemas.openxmlformats.org/officeDocument/2006/relationships/hyperlink" Target="https://hospital.blood.co.uk/audits/qs138-quality-insights-audit-tool/" TargetMode="External"/><Relationship Id="rId17" Type="http://schemas.openxmlformats.org/officeDocument/2006/relationships/hyperlink" Target="https://nhsbtdbe.blob.core.windows.net/umbraco-assets-corp/14562/2015-survey-of-patient-blood-management.pdf" TargetMode="External"/><Relationship Id="rId25" Type="http://schemas.openxmlformats.org/officeDocument/2006/relationships/hyperlink" Target="https://www.transfusionguidelines.org/uk-transfusion-committees/regional-transfusion-committees/virtual-education-sessions" TargetMode="External"/><Relationship Id="rId33" Type="http://schemas.openxmlformats.org/officeDocument/2006/relationships/hyperlink" Target="https://nhsbtdbe.blob.core.windows.net/umbraco-assets-corp/17064/2018-survey-of-pbm.pdf" TargetMode="External"/><Relationship Id="rId38" Type="http://schemas.openxmlformats.org/officeDocument/2006/relationships/hyperlink" Target="https://www.shotuk.org/resources/current-resources/uktlc/" TargetMode="External"/><Relationship Id="rId46" Type="http://schemas.openxmlformats.org/officeDocument/2006/relationships/hyperlink" Target="https://www.shotuk.org/reporting/human-factors-tuition-package/" TargetMode="External"/><Relationship Id="rId59" Type="http://schemas.openxmlformats.org/officeDocument/2006/relationships/fontTable" Target="fontTable.xml"/><Relationship Id="rId20" Type="http://schemas.openxmlformats.org/officeDocument/2006/relationships/hyperlink" Target="https://hospital.blood.co.uk/patient-services/patient-blood-management/" TargetMode="External"/><Relationship Id="rId41" Type="http://schemas.openxmlformats.org/officeDocument/2006/relationships/hyperlink" Target="https://www.shotuk.org/wp-content/uploads/myimages/UK-TLC-Standards-2023-SHOT-version-for-website.pdf" TargetMode="External"/><Relationship Id="rId54" Type="http://schemas.openxmlformats.org/officeDocument/2006/relationships/hyperlink" Target="https://hospital.blood.co.uk/audits/national-comparative-audit/reports-grouped-by-year/2021-survey-of-patient-blood-managem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spital.blood.co.uk/audits/national-comparative-audit/reports-grouped-by-year/2021-survey-of-patient-blood-management/" TargetMode="External"/><Relationship Id="rId23" Type="http://schemas.openxmlformats.org/officeDocument/2006/relationships/hyperlink" Target="https://www.nhsbtaudits.co.uk/" TargetMode="External"/><Relationship Id="rId28" Type="http://schemas.openxmlformats.org/officeDocument/2006/relationships/hyperlink" Target="https://nationalbloodtransfusion.co.uk/rtc/east-england/documents-and-resources" TargetMode="External"/><Relationship Id="rId36" Type="http://schemas.openxmlformats.org/officeDocument/2006/relationships/hyperlink" Target="https://www.shotuk.org/wp-content/uploads/myimages/Capacity-Planning-Guidance-May-2021.pdf" TargetMode="External"/><Relationship Id="rId49" Type="http://schemas.openxmlformats.org/officeDocument/2006/relationships/hyperlink" Target="https://www.shotuk.org/resources/current-resources/" TargetMode="External"/><Relationship Id="rId57" Type="http://schemas.openxmlformats.org/officeDocument/2006/relationships/header" Target="header1.xml"/><Relationship Id="rId10" Type="http://schemas.openxmlformats.org/officeDocument/2006/relationships/hyperlink" Target="https://www.nhsbtaudits.co.uk/" TargetMode="External"/><Relationship Id="rId31" Type="http://schemas.openxmlformats.org/officeDocument/2006/relationships/hyperlink" Target="https://nationalbloodtransfusion.co.uk/working-group/national-transfusion-practitioners-network" TargetMode="External"/><Relationship Id="rId44" Type="http://schemas.openxmlformats.org/officeDocument/2006/relationships/hyperlink" Target="https://www.shotuk.org/uk-transfusion-laboratories-culture-survey-report-2019/" TargetMode="External"/><Relationship Id="rId52" Type="http://schemas.openxmlformats.org/officeDocument/2006/relationships/hyperlink" Target="https://hospital.blood.co.uk/audits/national-comparative-audit/reports-grouped-by-year/2021-survey-of-patient-blood-management/"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Marshall</dc:creator>
  <cp:keywords/>
  <dc:description/>
  <cp:lastModifiedBy>Andrea Marshall</cp:lastModifiedBy>
  <cp:revision>2</cp:revision>
  <cp:lastPrinted>2023-07-27T15:44:00Z</cp:lastPrinted>
  <dcterms:created xsi:type="dcterms:W3CDTF">2023-07-27T15:44:00Z</dcterms:created>
  <dcterms:modified xsi:type="dcterms:W3CDTF">2023-07-27T15:44:00Z</dcterms:modified>
</cp:coreProperties>
</file>